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1E15DDBC"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#114</w:t>
      </w:r>
      <w:r w:rsidR="005575A5">
        <w:rPr>
          <w:rFonts w:ascii="Arial" w:eastAsia="SimSun" w:hAnsi="Arial" w:cs="Arial"/>
          <w:b/>
          <w:sz w:val="24"/>
          <w:szCs w:val="24"/>
          <w:lang w:eastAsia="zh-CN"/>
        </w:rPr>
        <w:t>bis</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2A1649">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50</w:t>
      </w:r>
      <w:r w:rsidR="00A85D8A">
        <w:rPr>
          <w:rFonts w:ascii="Arial" w:eastAsiaTheme="minorEastAsia" w:hAnsi="Arial" w:cs="Arial"/>
          <w:b/>
          <w:sz w:val="24"/>
          <w:szCs w:val="24"/>
          <w:lang w:eastAsia="zh-CN"/>
        </w:rPr>
        <w:t>3237</w:t>
      </w:r>
    </w:p>
    <w:p w14:paraId="2CC33A46" w14:textId="343A5523" w:rsidR="00192071" w:rsidRPr="005575A5" w:rsidRDefault="005575A5" w:rsidP="005575A5">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Wuhan</w:t>
      </w:r>
      <w:r w:rsidRPr="00F542A0">
        <w:rPr>
          <w:rFonts w:eastAsia="SimSun" w:cs="Arial"/>
          <w:sz w:val="24"/>
          <w:szCs w:val="24"/>
          <w:lang w:eastAsia="zh-CN"/>
        </w:rPr>
        <w:t xml:space="preserve">, </w:t>
      </w:r>
      <w:r>
        <w:rPr>
          <w:rFonts w:eastAsia="SimSun" w:cs="Arial"/>
          <w:sz w:val="24"/>
          <w:szCs w:val="24"/>
          <w:lang w:eastAsia="zh-CN"/>
        </w:rPr>
        <w:t>Hubei, China</w:t>
      </w:r>
      <w:r w:rsidRPr="00F542A0">
        <w:rPr>
          <w:rFonts w:eastAsia="SimSun" w:cs="Arial"/>
          <w:sz w:val="24"/>
          <w:szCs w:val="24"/>
          <w:lang w:eastAsia="zh-CN"/>
        </w:rPr>
        <w:t xml:space="preserve">, </w:t>
      </w:r>
      <w:r>
        <w:rPr>
          <w:rFonts w:eastAsia="SimSun" w:cs="Arial"/>
          <w:sz w:val="24"/>
          <w:szCs w:val="24"/>
          <w:lang w:eastAsia="zh-CN"/>
        </w:rPr>
        <w:t>0</w:t>
      </w:r>
      <w:r w:rsidRPr="00F542A0">
        <w:rPr>
          <w:rFonts w:eastAsia="SimSun" w:cs="Arial"/>
          <w:sz w:val="24"/>
          <w:szCs w:val="24"/>
          <w:lang w:eastAsia="zh-CN"/>
        </w:rPr>
        <w:t>7</w:t>
      </w:r>
      <w:r w:rsidRPr="00F542A0">
        <w:rPr>
          <w:rFonts w:eastAsia="SimSun" w:cs="Arial"/>
          <w:sz w:val="24"/>
          <w:szCs w:val="24"/>
          <w:vertAlign w:val="superscript"/>
          <w:lang w:eastAsia="zh-CN"/>
        </w:rPr>
        <w:t>th</w:t>
      </w:r>
      <w:r w:rsidRPr="00F542A0">
        <w:rPr>
          <w:rFonts w:eastAsia="SimSun" w:cs="Arial"/>
          <w:sz w:val="24"/>
          <w:szCs w:val="24"/>
          <w:lang w:eastAsia="zh-CN"/>
        </w:rPr>
        <w:t xml:space="preserve"> – </w:t>
      </w:r>
      <w:r>
        <w:rPr>
          <w:rFonts w:eastAsia="SimSun" w:cs="Arial"/>
          <w:sz w:val="24"/>
          <w:szCs w:val="24"/>
          <w:lang w:eastAsia="zh-CN"/>
        </w:rPr>
        <w:t>11</w:t>
      </w:r>
      <w:r>
        <w:rPr>
          <w:rFonts w:eastAsia="SimSun" w:cs="Arial"/>
          <w:sz w:val="24"/>
          <w:szCs w:val="24"/>
          <w:vertAlign w:val="superscript"/>
          <w:lang w:eastAsia="zh-CN"/>
        </w:rPr>
        <w:t>th</w:t>
      </w:r>
      <w:r w:rsidRPr="00F542A0">
        <w:rPr>
          <w:rFonts w:eastAsia="SimSun" w:cs="Arial"/>
          <w:sz w:val="24"/>
          <w:szCs w:val="24"/>
          <w:lang w:eastAsia="zh-CN"/>
        </w:rPr>
        <w:t xml:space="preserve"> </w:t>
      </w:r>
      <w:r>
        <w:rPr>
          <w:rFonts w:eastAsia="SimSun" w:cs="Arial"/>
          <w:sz w:val="24"/>
          <w:szCs w:val="24"/>
          <w:lang w:eastAsia="zh-CN"/>
        </w:rPr>
        <w:t>April</w:t>
      </w:r>
      <w:r w:rsidRPr="00F542A0">
        <w:rPr>
          <w:rFonts w:eastAsia="SimSun" w:cs="Arial"/>
          <w:sz w:val="24"/>
          <w:szCs w:val="24"/>
          <w:lang w:eastAsia="zh-CN"/>
        </w:rPr>
        <w:t>, 2025</w:t>
      </w:r>
    </w:p>
    <w:p w14:paraId="603D217E" w14:textId="796EC39B" w:rsidR="00797DEB"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615519">
        <w:rPr>
          <w:rFonts w:ascii="Arial" w:hAnsi="Arial" w:cs="Arial"/>
          <w:bCs/>
          <w:sz w:val="22"/>
        </w:rPr>
        <w:t>Flexible</w:t>
      </w:r>
      <w:r w:rsidR="00797DEB" w:rsidRPr="00797DEB">
        <w:rPr>
          <w:rFonts w:ascii="Arial" w:hAnsi="Arial" w:cs="Arial"/>
          <w:bCs/>
          <w:sz w:val="22"/>
        </w:rPr>
        <w:t xml:space="preserve"> RB extension for improv</w:t>
      </w:r>
      <w:r w:rsidR="00615519">
        <w:rPr>
          <w:rFonts w:ascii="Arial" w:hAnsi="Arial" w:cs="Arial"/>
          <w:bCs/>
          <w:sz w:val="22"/>
        </w:rPr>
        <w:t>ed</w:t>
      </w:r>
      <w:r w:rsidR="00797DEB" w:rsidRPr="00797DEB">
        <w:rPr>
          <w:rFonts w:ascii="Arial" w:hAnsi="Arial" w:cs="Arial"/>
          <w:bCs/>
          <w:sz w:val="22"/>
        </w:rPr>
        <w:t xml:space="preserve"> MPR when NW BW is </w:t>
      </w:r>
      <w:r w:rsidR="00615519">
        <w:rPr>
          <w:rFonts w:ascii="Arial" w:hAnsi="Arial" w:cs="Arial"/>
          <w:bCs/>
          <w:sz w:val="22"/>
        </w:rPr>
        <w:t>larger</w:t>
      </w:r>
      <w:r w:rsidR="00797DEB" w:rsidRPr="00797DEB">
        <w:rPr>
          <w:rFonts w:ascii="Arial" w:hAnsi="Arial" w:cs="Arial"/>
          <w:bCs/>
          <w:sz w:val="22"/>
        </w:rPr>
        <w:t xml:space="preserve"> than UE CBW</w:t>
      </w:r>
    </w:p>
    <w:p w14:paraId="195DA234" w14:textId="64BDCBB7"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170E96A5" w14:textId="1627AF44" w:rsidR="00615519" w:rsidRDefault="00E61455" w:rsidP="000D667B">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615519" w:rsidRPr="00615519">
        <w:rPr>
          <w:rFonts w:ascii="Arial" w:hAnsi="Arial" w:cs="Arial"/>
          <w:bCs/>
          <w:sz w:val="22"/>
        </w:rPr>
        <w:t>7.1.1.2.</w:t>
      </w:r>
      <w:r w:rsidR="00615519">
        <w:rPr>
          <w:rFonts w:ascii="Arial" w:hAnsi="Arial" w:cs="Arial"/>
          <w:bCs/>
          <w:sz w:val="22"/>
        </w:rPr>
        <w:t xml:space="preserve">1 </w:t>
      </w:r>
      <w:r w:rsidR="00615519" w:rsidRPr="00615519">
        <w:rPr>
          <w:rFonts w:ascii="Arial" w:hAnsi="Arial" w:cs="Arial"/>
          <w:bCs/>
          <w:sz w:val="22"/>
        </w:rPr>
        <w:t>Power domain enhancements for single carrier</w:t>
      </w:r>
      <w:r w:rsidR="00615519">
        <w:rPr>
          <w:rFonts w:ascii="Arial" w:hAnsi="Arial" w:cs="Arial"/>
          <w:bCs/>
          <w:sz w:val="22"/>
        </w:rPr>
        <w:t xml:space="preserve"> </w:t>
      </w:r>
      <w:r w:rsidR="00615519" w:rsidRPr="00615519">
        <w:rPr>
          <w:rFonts w:ascii="Arial" w:hAnsi="Arial" w:cs="Arial"/>
          <w:bCs/>
          <w:sz w:val="22"/>
        </w:rPr>
        <w:t>[NR_ENDC_RF_Ph4-Core]</w:t>
      </w:r>
    </w:p>
    <w:p w14:paraId="5E188A5E" w14:textId="6EADA7E3" w:rsidR="00E61455" w:rsidRPr="00B4277E" w:rsidRDefault="00E61455" w:rsidP="000D667B">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5356CC08" w:rsidR="00F2750F" w:rsidRPr="00AB149D" w:rsidRDefault="00A37ACD" w:rsidP="00A37ACD">
      <w:pPr>
        <w:spacing w:after="0"/>
      </w:pPr>
      <w:bookmarkStart w:id="2" w:name="_Hlk149936446"/>
      <w:r>
        <w:t xml:space="preserve">In </w:t>
      </w:r>
      <w:r w:rsidR="000F5302">
        <w:t>R4#11</w:t>
      </w:r>
      <w:r w:rsidR="00CD100B">
        <w:t>4</w:t>
      </w:r>
      <w:r w:rsidR="00B4277E">
        <w:t>,</w:t>
      </w:r>
      <w:r w:rsidR="00964C62">
        <w:t xml:space="preserve"> </w:t>
      </w:r>
      <w:bookmarkStart w:id="3" w:name="_Hlk165324434"/>
      <w:r w:rsidR="000F5302">
        <w:t xml:space="preserve">we </w:t>
      </w:r>
      <w:r w:rsidR="005C3D8D">
        <w:t>provided further details</w:t>
      </w:r>
      <w:r w:rsidR="001A1BAF">
        <w:t xml:space="preserve"> on our proposal to signal extended emission BW for UEs based on RB extension </w:t>
      </w:r>
      <w:r w:rsidR="000F5302">
        <w:t>[1]</w:t>
      </w:r>
      <w:r w:rsidR="005C3D8D">
        <w:t>. Additionally,</w:t>
      </w:r>
      <w:r w:rsidR="001A1BAF">
        <w:t xml:space="preserve"> </w:t>
      </w:r>
      <w:r w:rsidR="002126E1">
        <w:t>it was agreed that the OOBE regions is</w:t>
      </w:r>
      <w:r w:rsidR="001A1BAF">
        <w:t xml:space="preserve"> relative to the UE CBW as captured in way forward [2].</w:t>
      </w:r>
      <w:r w:rsidR="000F5302" w:rsidRPr="000F5302">
        <w:t xml:space="preserve"> </w:t>
      </w:r>
      <w:r w:rsidR="00993551">
        <w:rPr>
          <w:rFonts w:eastAsia="Arial"/>
          <w:lang w:eastAsia="zh-CN"/>
        </w:rPr>
        <w:t xml:space="preserve">In this contribution, </w:t>
      </w:r>
      <w:r w:rsidR="000F5302">
        <w:rPr>
          <w:rFonts w:eastAsia="Arial"/>
          <w:lang w:eastAsia="zh-CN"/>
        </w:rPr>
        <w:t xml:space="preserve">we </w:t>
      </w:r>
      <w:r w:rsidR="001A1BAF">
        <w:rPr>
          <w:rFonts w:eastAsia="Arial"/>
          <w:lang w:eastAsia="zh-CN"/>
        </w:rPr>
        <w:t xml:space="preserve">further explain the concept of </w:t>
      </w:r>
      <w:r w:rsidR="002126E1">
        <w:rPr>
          <w:rFonts w:eastAsia="Arial"/>
          <w:lang w:eastAsia="zh-CN"/>
        </w:rPr>
        <w:t xml:space="preserve">a flexible </w:t>
      </w:r>
      <w:r w:rsidR="001A1BAF">
        <w:rPr>
          <w:rFonts w:eastAsia="Arial"/>
          <w:lang w:eastAsia="zh-CN"/>
        </w:rPr>
        <w:t>extended bandwidth base</w:t>
      </w:r>
      <w:r w:rsidR="002914A3">
        <w:rPr>
          <w:rFonts w:eastAsia="Arial"/>
          <w:lang w:eastAsia="zh-CN"/>
        </w:rPr>
        <w:t>d</w:t>
      </w:r>
      <w:r w:rsidR="001A1BAF">
        <w:rPr>
          <w:rFonts w:eastAsia="Arial"/>
          <w:lang w:eastAsia="zh-CN"/>
        </w:rPr>
        <w:t xml:space="preserve"> on RB extension</w:t>
      </w:r>
      <w:r w:rsidR="002126E1">
        <w:rPr>
          <w:rFonts w:eastAsia="Arial"/>
          <w:lang w:eastAsia="zh-CN"/>
        </w:rPr>
        <w:t xml:space="preserve"> in fractions of the </w:t>
      </w:r>
      <w:r w:rsidR="007D1027">
        <w:rPr>
          <w:rFonts w:eastAsia="Arial"/>
          <w:lang w:eastAsia="zh-CN"/>
        </w:rPr>
        <w:t>UE NRB and</w:t>
      </w:r>
      <w:r w:rsidR="001A1BAF">
        <w:rPr>
          <w:rFonts w:eastAsia="Arial"/>
          <w:lang w:eastAsia="zh-CN"/>
        </w:rPr>
        <w:t xml:space="preserve"> </w:t>
      </w:r>
      <w:r w:rsidR="002126E1">
        <w:rPr>
          <w:rFonts w:eastAsia="Arial"/>
          <w:lang w:eastAsia="zh-CN"/>
        </w:rPr>
        <w:t>define the associated guard bands and extended bandwidth</w:t>
      </w:r>
      <w:r w:rsidR="001A1BAF">
        <w:rPr>
          <w:rFonts w:eastAsia="Arial"/>
          <w:lang w:eastAsia="zh-CN"/>
        </w:rPr>
        <w:t xml:space="preserve"> </w:t>
      </w:r>
      <w:r w:rsidR="002126E1">
        <w:rPr>
          <w:rFonts w:eastAsia="Arial"/>
          <w:lang w:eastAsia="zh-CN"/>
        </w:rPr>
        <w:t xml:space="preserve">in </w:t>
      </w:r>
      <w:r w:rsidR="001A1BAF">
        <w:rPr>
          <w:rFonts w:eastAsia="Arial"/>
          <w:lang w:eastAsia="zh-CN"/>
        </w:rPr>
        <w:t xml:space="preserve">relation to the </w:t>
      </w:r>
      <w:r w:rsidR="005C3D8D">
        <w:rPr>
          <w:rFonts w:eastAsia="Arial"/>
          <w:lang w:eastAsia="zh-CN"/>
        </w:rPr>
        <w:t>permitted</w:t>
      </w:r>
      <w:r w:rsidR="001A1BAF">
        <w:rPr>
          <w:rFonts w:eastAsia="Arial"/>
          <w:lang w:eastAsia="zh-CN"/>
        </w:rPr>
        <w:t xml:space="preserve"> emission</w:t>
      </w:r>
      <w:r w:rsidR="00993551">
        <w:rPr>
          <w:rFonts w:eastAsia="Arial"/>
          <w:lang w:eastAsia="zh-CN"/>
        </w:rPr>
        <w:t>.</w:t>
      </w:r>
    </w:p>
    <w:bookmarkEnd w:id="2"/>
    <w:bookmarkEnd w:id="3"/>
    <w:p w14:paraId="61F277A6" w14:textId="7E3955D8" w:rsidR="00343AA7" w:rsidRDefault="00B80DFB" w:rsidP="00446528">
      <w:pPr>
        <w:pStyle w:val="Heading1"/>
        <w:numPr>
          <w:ilvl w:val="0"/>
          <w:numId w:val="1"/>
        </w:numPr>
        <w:ind w:left="567" w:hanging="567"/>
      </w:pPr>
      <w:r>
        <w:t>Discussion</w:t>
      </w:r>
    </w:p>
    <w:p w14:paraId="1D527544" w14:textId="19AF55CD" w:rsidR="009E7AA7" w:rsidRDefault="009E7AA7" w:rsidP="009E7AA7">
      <w:pPr>
        <w:pStyle w:val="Heading2"/>
        <w:rPr>
          <w:rFonts w:eastAsiaTheme="minorEastAsia"/>
          <w:b/>
          <w:bCs/>
          <w:lang w:val="en-US"/>
        </w:rPr>
      </w:pPr>
      <w:r>
        <w:rPr>
          <w:rFonts w:eastAsia="Arial"/>
          <w:lang w:eastAsia="zh-CN"/>
        </w:rPr>
        <w:t>2.1 Way forward input</w:t>
      </w:r>
    </w:p>
    <w:p w14:paraId="789F3733" w14:textId="486867B8" w:rsidR="001A1BAF" w:rsidRDefault="009E7AA7" w:rsidP="001A1BAF">
      <w:r>
        <w:t>S</w:t>
      </w:r>
      <w:r w:rsidR="005C3D8D">
        <w:t>everal</w:t>
      </w:r>
      <w:r w:rsidR="001A1BAF">
        <w:t xml:space="preserve"> agreements related to the extended UE bandwidth </w:t>
      </w:r>
      <w:r>
        <w:t xml:space="preserve">were captured </w:t>
      </w:r>
      <w:r w:rsidR="001A1BAF">
        <w:t>in way forwards [2]</w:t>
      </w:r>
      <w:r w:rsidR="007D1027">
        <w:t>.</w:t>
      </w:r>
      <w:r>
        <w:t xml:space="preserve"> </w:t>
      </w:r>
      <w:r w:rsidR="007D1027">
        <w:t>T</w:t>
      </w:r>
      <w:r>
        <w:t>hey are summarized here in italic</w:t>
      </w:r>
      <w:r w:rsidR="007D1027">
        <w:t>s</w:t>
      </w:r>
      <w:r w:rsidR="001A1BAF">
        <w:t>.</w:t>
      </w:r>
    </w:p>
    <w:p w14:paraId="08B2B256" w14:textId="5954BD5E" w:rsidR="009E7AA7" w:rsidRPr="00F42781" w:rsidRDefault="009E7AA7" w:rsidP="009E7AA7">
      <w:pPr>
        <w:pStyle w:val="Heading4"/>
        <w:spacing w:before="0" w:after="60"/>
        <w:ind w:left="0" w:firstLine="0"/>
        <w:rPr>
          <w:rFonts w:ascii="Times New Roman" w:hAnsi="Times New Roman"/>
          <w:i/>
          <w:iCs/>
          <w:sz w:val="20"/>
        </w:rPr>
      </w:pPr>
      <w:r w:rsidRPr="00F42781">
        <w:rPr>
          <w:rFonts w:ascii="Times New Roman" w:hAnsi="Times New Roman"/>
          <w:b/>
          <w:bCs/>
          <w:i/>
          <w:iCs/>
          <w:sz w:val="20"/>
        </w:rPr>
        <w:t>Issue 1-1-1: Boundary to apply SE</w:t>
      </w:r>
      <w:r w:rsidRPr="00F42781">
        <w:rPr>
          <w:rFonts w:ascii="Times New Roman" w:hAnsi="Times New Roman"/>
          <w:i/>
          <w:iCs/>
          <w:sz w:val="20"/>
        </w:rPr>
        <w:t>: The SE limits apply for the frequency ranges that are more than UE CBW+5MHz from the edge of the extended UE CBW. This choice was made to meet the 270% CBW ITU recommendation.</w:t>
      </w:r>
    </w:p>
    <w:p w14:paraId="75B7CA54" w14:textId="577B9F54" w:rsidR="009E7AA7" w:rsidRPr="00F42781" w:rsidRDefault="009E7AA7" w:rsidP="009E7AA7">
      <w:pPr>
        <w:spacing w:after="0"/>
        <w:rPr>
          <w:i/>
          <w:iCs/>
        </w:rPr>
      </w:pPr>
      <w:r w:rsidRPr="00F42781">
        <w:rPr>
          <w:b/>
          <w:bCs/>
          <w:i/>
          <w:iCs/>
        </w:rPr>
        <w:t>Issue 1-1-2: Integral region basis for OOBE:</w:t>
      </w:r>
      <w:r w:rsidRPr="00F42781">
        <w:rPr>
          <w:i/>
          <w:iCs/>
        </w:rPr>
        <w:t xml:space="preserve"> The OOBE requirements are based on UE CBW</w:t>
      </w:r>
    </w:p>
    <w:p w14:paraId="3C9C40D8" w14:textId="1759C397" w:rsidR="009E7AA7" w:rsidRDefault="009E7AA7" w:rsidP="001A1BAF">
      <w:r>
        <w:rPr>
          <w:rFonts w:eastAsia="SimSun"/>
          <w:lang w:eastAsia="en-US"/>
        </w:rPr>
        <w:object w:dxaOrig="5145" w:dyaOrig="1440" w14:anchorId="6EBE5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97.5pt" o:ole="">
            <v:imagedata r:id="rId13" o:title=""/>
          </v:shape>
          <o:OLEObject Type="Embed" ProgID="Visio.Drawing.15" ShapeID="_x0000_i1025" DrawAspect="Content" ObjectID="_1804688474" r:id="rId14"/>
        </w:object>
      </w:r>
    </w:p>
    <w:p w14:paraId="41E7BDEA" w14:textId="6D632736" w:rsidR="00C8050C" w:rsidRPr="00C8050C" w:rsidRDefault="00C8050C" w:rsidP="00C8050C">
      <w:r>
        <w:t>In our view, th</w:t>
      </w:r>
      <w:r w:rsidR="003D6E9A">
        <w:t>e</w:t>
      </w:r>
      <w:r>
        <w:t>s</w:t>
      </w:r>
      <w:r w:rsidR="003D6E9A">
        <w:t>e</w:t>
      </w:r>
      <w:r>
        <w:t xml:space="preserve"> Spurious Emission</w:t>
      </w:r>
      <w:r w:rsidR="007D1027">
        <w:t xml:space="preserve"> (SE)</w:t>
      </w:r>
      <w:r>
        <w:t xml:space="preserve"> and OOBE requirements are only an indirect way to meet the </w:t>
      </w:r>
      <w:r w:rsidRPr="00C8050C">
        <w:t>270% CBW ITU recommendation</w:t>
      </w:r>
      <w:r>
        <w:t xml:space="preserve"> since this implies -30dBm/MHz is met at 200% CBW+5MHz. We </w:t>
      </w:r>
      <w:r w:rsidR="007D1027">
        <w:t>agree</w:t>
      </w:r>
      <w:r>
        <w:t xml:space="preserve"> to verify that all outer RBs can be turned into inner </w:t>
      </w:r>
      <w:r w:rsidR="007D1027">
        <w:t xml:space="preserve">RBs </w:t>
      </w:r>
      <w:r>
        <w:t xml:space="preserve">when </w:t>
      </w:r>
      <w:r w:rsidR="007D1027">
        <w:t>e</w:t>
      </w:r>
      <w:r>
        <w:t>xtended CBW/NRB is 2xUECBW/2xUENRB</w:t>
      </w:r>
      <w:r w:rsidR="007D1027">
        <w:t>.</w:t>
      </w:r>
    </w:p>
    <w:p w14:paraId="143B702E" w14:textId="077E343C" w:rsidR="009E7AA7" w:rsidRPr="00F42781" w:rsidRDefault="00F42781" w:rsidP="001A1BAF">
      <w:pPr>
        <w:rPr>
          <w:i/>
          <w:iCs/>
        </w:rPr>
      </w:pPr>
      <w:r w:rsidRPr="00F42781">
        <w:rPr>
          <w:b/>
          <w:bCs/>
          <w:i/>
          <w:iCs/>
        </w:rPr>
        <w:t>Issue 1-3-2: UE capability:</w:t>
      </w:r>
      <w:r w:rsidRPr="00F42781">
        <w:rPr>
          <w:i/>
          <w:iCs/>
        </w:rPr>
        <w:t xml:space="preserve"> MPR reduction with extended CBW is an optional feature with UE </w:t>
      </w:r>
      <w:proofErr w:type="gramStart"/>
      <w:r w:rsidRPr="00F42781">
        <w:rPr>
          <w:i/>
          <w:iCs/>
        </w:rPr>
        <w:t>capability</w:t>
      </w:r>
      <w:proofErr w:type="gramEnd"/>
    </w:p>
    <w:p w14:paraId="2D4B548D" w14:textId="1A2EEABB" w:rsidR="009E7AA7" w:rsidRDefault="00F42781" w:rsidP="00F42781">
      <w:pPr>
        <w:spacing w:after="0"/>
      </w:pPr>
      <w:r>
        <w:t>Other topics are still open as captured in [2]</w:t>
      </w:r>
    </w:p>
    <w:p w14:paraId="14EFBA83" w14:textId="67BFAB01" w:rsidR="00F42781" w:rsidRDefault="00F42781" w:rsidP="00F42781">
      <w:pPr>
        <w:pStyle w:val="ListParagraph"/>
        <w:numPr>
          <w:ilvl w:val="0"/>
          <w:numId w:val="32"/>
        </w:numPr>
        <w:spacing w:after="0"/>
        <w:ind w:firstLineChars="0"/>
      </w:pPr>
      <w:r w:rsidRPr="00F42781">
        <w:t>A-MPR handling</w:t>
      </w:r>
    </w:p>
    <w:p w14:paraId="7714F81F" w14:textId="3F1025A6" w:rsidR="00F42781" w:rsidRDefault="00F42781" w:rsidP="00F42781">
      <w:pPr>
        <w:pStyle w:val="ListParagraph"/>
        <w:numPr>
          <w:ilvl w:val="0"/>
          <w:numId w:val="32"/>
        </w:numPr>
        <w:spacing w:after="0"/>
        <w:ind w:firstLineChars="0"/>
      </w:pPr>
      <w:r w:rsidRPr="00F42781">
        <w:t xml:space="preserve">How to derive the extended IBE  </w:t>
      </w:r>
    </w:p>
    <w:p w14:paraId="38136EEF" w14:textId="69812B71" w:rsidR="00F42781" w:rsidRDefault="00F42781" w:rsidP="00F42781">
      <w:pPr>
        <w:pStyle w:val="ListParagraph"/>
        <w:numPr>
          <w:ilvl w:val="0"/>
          <w:numId w:val="32"/>
        </w:numPr>
        <w:spacing w:after="0"/>
        <w:ind w:firstLineChars="0"/>
      </w:pPr>
      <w:r w:rsidRPr="00F42781">
        <w:t>Width/RB numbers of extended CBW at each side of UE CBW</w:t>
      </w:r>
    </w:p>
    <w:p w14:paraId="11037B47" w14:textId="1B6C7B99" w:rsidR="00F42781" w:rsidRDefault="00F42781" w:rsidP="00F42781">
      <w:pPr>
        <w:pStyle w:val="ListParagraph"/>
        <w:numPr>
          <w:ilvl w:val="0"/>
          <w:numId w:val="32"/>
        </w:numPr>
        <w:spacing w:after="0"/>
        <w:ind w:firstLineChars="0"/>
      </w:pPr>
      <w:r w:rsidRPr="00F42781">
        <w:t>How to get the width/RB numbers of extended CBW at each side of UE CBW</w:t>
      </w:r>
    </w:p>
    <w:p w14:paraId="189B952D" w14:textId="2BCE657D" w:rsidR="00F42781" w:rsidRDefault="00F42781" w:rsidP="00F42781">
      <w:pPr>
        <w:pStyle w:val="ListParagraph"/>
        <w:numPr>
          <w:ilvl w:val="0"/>
          <w:numId w:val="32"/>
        </w:numPr>
        <w:spacing w:after="0"/>
        <w:ind w:firstLineChars="0"/>
      </w:pPr>
      <w:r w:rsidRPr="00F42781">
        <w:t>Guard band for extended CBW</w:t>
      </w:r>
    </w:p>
    <w:p w14:paraId="432599EC" w14:textId="28183C23" w:rsidR="00F42781" w:rsidRDefault="00F42781" w:rsidP="00F42781">
      <w:pPr>
        <w:pStyle w:val="ListParagraph"/>
        <w:numPr>
          <w:ilvl w:val="0"/>
          <w:numId w:val="32"/>
        </w:numPr>
        <w:spacing w:after="0"/>
        <w:ind w:firstLineChars="0"/>
      </w:pPr>
      <w:r w:rsidRPr="00F42781">
        <w:t>Approaches of deriving the new inner RB region with RBs in extended CBW</w:t>
      </w:r>
    </w:p>
    <w:p w14:paraId="59D845BC" w14:textId="76677859" w:rsidR="009E7AA7" w:rsidRDefault="00F42781" w:rsidP="00F42781">
      <w:pPr>
        <w:pStyle w:val="ListParagraph"/>
        <w:numPr>
          <w:ilvl w:val="0"/>
          <w:numId w:val="32"/>
        </w:numPr>
        <w:spacing w:after="0"/>
        <w:ind w:firstLineChars="0"/>
      </w:pPr>
      <w:r w:rsidRPr="00F42781">
        <w:t>NW signa</w:t>
      </w:r>
      <w:r>
        <w:t>l</w:t>
      </w:r>
      <w:r w:rsidRPr="00F42781">
        <w:t>ling</w:t>
      </w:r>
      <w:r>
        <w:t>.</w:t>
      </w:r>
    </w:p>
    <w:p w14:paraId="3F0A4F7A" w14:textId="3785CDBF" w:rsidR="00F42781" w:rsidRDefault="00F42781" w:rsidP="00F42781">
      <w:pPr>
        <w:spacing w:after="0"/>
      </w:pPr>
    </w:p>
    <w:p w14:paraId="4287F546" w14:textId="0FE42AEC" w:rsidR="009E7AA7" w:rsidRDefault="00F42781" w:rsidP="00F42781">
      <w:pPr>
        <w:spacing w:after="0"/>
      </w:pPr>
      <w:r>
        <w:t>In this contribution, we provide our proposals on a flexible RB extension approach and associated guard bands together with our views on the open topics.</w:t>
      </w:r>
    </w:p>
    <w:p w14:paraId="7F8AB393" w14:textId="2164FB70" w:rsidR="00B34C4C" w:rsidRDefault="00C75046" w:rsidP="0090677C">
      <w:pPr>
        <w:pStyle w:val="Heading2"/>
        <w:rPr>
          <w:rFonts w:eastAsia="Arial"/>
          <w:lang w:eastAsia="zh-CN"/>
        </w:rPr>
      </w:pPr>
      <w:r>
        <w:rPr>
          <w:rFonts w:eastAsia="Arial"/>
          <w:lang w:eastAsia="zh-CN"/>
        </w:rPr>
        <w:t>2.</w:t>
      </w:r>
      <w:r w:rsidR="00671A16">
        <w:rPr>
          <w:rFonts w:eastAsia="Arial"/>
          <w:lang w:eastAsia="zh-CN"/>
        </w:rPr>
        <w:t>2</w:t>
      </w:r>
      <w:r>
        <w:rPr>
          <w:rFonts w:eastAsia="Arial"/>
          <w:lang w:eastAsia="zh-CN"/>
        </w:rPr>
        <w:t xml:space="preserve"> </w:t>
      </w:r>
      <w:r w:rsidR="0090677C">
        <w:rPr>
          <w:rFonts w:eastAsia="Arial"/>
          <w:lang w:eastAsia="zh-CN"/>
        </w:rPr>
        <w:t xml:space="preserve">Using CBW or NRB </w:t>
      </w:r>
      <w:r w:rsidR="005C3D8D">
        <w:rPr>
          <w:rFonts w:eastAsia="Arial"/>
          <w:lang w:eastAsia="zh-CN"/>
        </w:rPr>
        <w:t>E</w:t>
      </w:r>
      <w:r w:rsidR="0090677C">
        <w:rPr>
          <w:rFonts w:eastAsia="Arial"/>
          <w:lang w:eastAsia="zh-CN"/>
        </w:rPr>
        <w:t>xtension</w:t>
      </w:r>
      <w:r w:rsidR="00CD100B">
        <w:rPr>
          <w:rFonts w:eastAsia="Arial"/>
          <w:lang w:eastAsia="zh-CN"/>
        </w:rPr>
        <w:t xml:space="preserve"> with OOBE </w:t>
      </w:r>
      <w:r w:rsidR="007D1027">
        <w:rPr>
          <w:rFonts w:eastAsia="Arial"/>
          <w:lang w:eastAsia="zh-CN"/>
        </w:rPr>
        <w:t>R</w:t>
      </w:r>
      <w:r w:rsidR="00CD100B">
        <w:rPr>
          <w:rFonts w:eastAsia="Arial"/>
          <w:lang w:eastAsia="zh-CN"/>
        </w:rPr>
        <w:t xml:space="preserve">egion </w:t>
      </w:r>
      <w:r w:rsidR="007D1027">
        <w:rPr>
          <w:rFonts w:eastAsia="Arial"/>
          <w:lang w:eastAsia="zh-CN"/>
        </w:rPr>
        <w:t>B</w:t>
      </w:r>
      <w:r w:rsidR="00CD100B">
        <w:rPr>
          <w:rFonts w:eastAsia="Arial"/>
          <w:lang w:eastAsia="zh-CN"/>
        </w:rPr>
        <w:t>ased on UE</w:t>
      </w:r>
      <w:r w:rsidR="00D91C7D">
        <w:rPr>
          <w:rFonts w:eastAsia="Arial"/>
          <w:lang w:eastAsia="zh-CN"/>
        </w:rPr>
        <w:t xml:space="preserve"> CBW</w:t>
      </w:r>
    </w:p>
    <w:p w14:paraId="6C9CD0B7" w14:textId="5239A0FD" w:rsidR="00E97158" w:rsidRDefault="000E74B3" w:rsidP="000E74B3">
      <w:pPr>
        <w:rPr>
          <w:rFonts w:eastAsia="Arial"/>
          <w:lang w:eastAsia="zh-CN"/>
        </w:rPr>
      </w:pPr>
      <w:r>
        <w:rPr>
          <w:rFonts w:eastAsia="Arial"/>
          <w:lang w:eastAsia="zh-CN"/>
        </w:rPr>
        <w:t>In the RAN4#114 meeting it was agreed to base the OOBE range of the extended BW on the initial UE CBW such that the -30dBm/MHz S</w:t>
      </w:r>
      <w:r w:rsidR="007D1027">
        <w:rPr>
          <w:rFonts w:eastAsia="Arial"/>
          <w:lang w:eastAsia="zh-CN"/>
        </w:rPr>
        <w:t xml:space="preserve">E </w:t>
      </w:r>
      <w:r>
        <w:rPr>
          <w:rFonts w:eastAsia="Arial"/>
          <w:lang w:eastAsia="zh-CN"/>
        </w:rPr>
        <w:t>range would be at 200% CBW + 5MHz</w:t>
      </w:r>
      <w:r w:rsidR="007D1027">
        <w:rPr>
          <w:rFonts w:eastAsia="Arial"/>
          <w:lang w:eastAsia="zh-CN"/>
        </w:rPr>
        <w:t>,</w:t>
      </w:r>
      <w:r>
        <w:rPr>
          <w:rFonts w:eastAsia="Arial"/>
          <w:lang w:eastAsia="zh-CN"/>
        </w:rPr>
        <w:t xml:space="preserve"> thus de facto covering the ITU recommendation of -30dBm/MHz at 270% transmission BW. </w:t>
      </w:r>
    </w:p>
    <w:p w14:paraId="55829BD8" w14:textId="112FAC5F" w:rsidR="000E74B3" w:rsidRDefault="000E74B3" w:rsidP="00E97158">
      <w:pPr>
        <w:spacing w:after="0"/>
        <w:rPr>
          <w:rFonts w:eastAsia="Arial"/>
          <w:lang w:eastAsia="zh-CN"/>
        </w:rPr>
      </w:pPr>
      <w:r>
        <w:rPr>
          <w:rFonts w:eastAsia="Arial"/>
          <w:lang w:eastAsia="zh-CN"/>
        </w:rPr>
        <w:t xml:space="preserve">That being agreed, we need to verify that SEM and ACLR can be met with two options in terms of maximum BW extension that </w:t>
      </w:r>
      <w:r w:rsidR="007D1027">
        <w:rPr>
          <w:rFonts w:eastAsia="Arial"/>
          <w:lang w:eastAsia="zh-CN"/>
        </w:rPr>
        <w:t>can</w:t>
      </w:r>
      <w:r w:rsidR="00E97158">
        <w:rPr>
          <w:rFonts w:eastAsia="Arial"/>
          <w:lang w:eastAsia="zh-CN"/>
        </w:rPr>
        <w:t xml:space="preserve"> turn any outer in</w:t>
      </w:r>
      <w:r w:rsidR="007D1027">
        <w:rPr>
          <w:rFonts w:eastAsia="Arial"/>
          <w:lang w:eastAsia="zh-CN"/>
        </w:rPr>
        <w:t>to</w:t>
      </w:r>
      <w:r w:rsidR="00E97158">
        <w:rPr>
          <w:rFonts w:eastAsia="Arial"/>
          <w:lang w:eastAsia="zh-CN"/>
        </w:rPr>
        <w:t xml:space="preserve"> inner and reduce their MPR:</w:t>
      </w:r>
    </w:p>
    <w:p w14:paraId="570B9575" w14:textId="5DCF5EEB" w:rsidR="00E97158" w:rsidRDefault="00E97158" w:rsidP="00E97158">
      <w:pPr>
        <w:pStyle w:val="ListParagraph"/>
        <w:numPr>
          <w:ilvl w:val="0"/>
          <w:numId w:val="33"/>
        </w:numPr>
        <w:spacing w:after="0"/>
        <w:ind w:firstLineChars="0"/>
        <w:rPr>
          <w:rFonts w:eastAsia="Arial"/>
          <w:lang w:eastAsia="zh-CN"/>
        </w:rPr>
      </w:pPr>
      <w:r>
        <w:rPr>
          <w:rFonts w:eastAsia="Arial"/>
          <w:lang w:eastAsia="zh-CN"/>
        </w:rPr>
        <w:t>Maximum extension based on UE CBW/2</w:t>
      </w:r>
      <w:r w:rsidR="00D91C7D">
        <w:rPr>
          <w:rFonts w:eastAsia="Arial"/>
          <w:lang w:eastAsia="zh-CN"/>
        </w:rPr>
        <w:t>.</w:t>
      </w:r>
    </w:p>
    <w:p w14:paraId="674AFF8E" w14:textId="7F8CF63C" w:rsidR="00E97158" w:rsidRDefault="00E97158" w:rsidP="00E97158">
      <w:pPr>
        <w:pStyle w:val="ListParagraph"/>
        <w:numPr>
          <w:ilvl w:val="0"/>
          <w:numId w:val="33"/>
        </w:numPr>
        <w:spacing w:after="0"/>
        <w:ind w:firstLineChars="0"/>
        <w:rPr>
          <w:rFonts w:eastAsia="Arial"/>
          <w:lang w:eastAsia="zh-CN"/>
        </w:rPr>
      </w:pPr>
      <w:r>
        <w:rPr>
          <w:rFonts w:eastAsia="Arial"/>
          <w:lang w:eastAsia="zh-CN"/>
        </w:rPr>
        <w:t>Maximum extension based on UE NRB/2</w:t>
      </w:r>
      <w:r w:rsidR="00D91C7D">
        <w:rPr>
          <w:rFonts w:eastAsia="Arial"/>
          <w:lang w:eastAsia="zh-CN"/>
        </w:rPr>
        <w:t>.</w:t>
      </w:r>
    </w:p>
    <w:p w14:paraId="5F2974A1" w14:textId="7CC6A15B" w:rsidR="00E97158" w:rsidRDefault="00E97158" w:rsidP="00E97158">
      <w:pPr>
        <w:spacing w:after="0"/>
        <w:rPr>
          <w:rFonts w:eastAsia="Arial"/>
          <w:lang w:eastAsia="zh-CN"/>
        </w:rPr>
      </w:pPr>
    </w:p>
    <w:p w14:paraId="6B292AC0" w14:textId="41CCB411" w:rsidR="00E97158" w:rsidRDefault="007D1027" w:rsidP="00E97158">
      <w:pPr>
        <w:spacing w:after="0"/>
        <w:rPr>
          <w:rFonts w:eastAsia="Arial"/>
          <w:lang w:eastAsia="zh-CN"/>
        </w:rPr>
      </w:pPr>
      <w:r>
        <w:rPr>
          <w:rFonts w:eastAsia="Arial"/>
          <w:lang w:eastAsia="zh-CN"/>
        </w:rPr>
        <w:t>To</w:t>
      </w:r>
      <w:r w:rsidR="00E97158">
        <w:rPr>
          <w:rFonts w:eastAsia="Arial"/>
          <w:lang w:eastAsia="zh-CN"/>
        </w:rPr>
        <w:t xml:space="preserve"> visualize the different cases and their potential MPR impact, </w:t>
      </w:r>
      <w:r>
        <w:rPr>
          <w:rFonts w:eastAsia="Arial"/>
          <w:lang w:eastAsia="zh-CN"/>
        </w:rPr>
        <w:t>several</w:t>
      </w:r>
      <w:r w:rsidR="00E97158">
        <w:rPr>
          <w:rFonts w:eastAsia="Arial"/>
          <w:lang w:eastAsia="zh-CN"/>
        </w:rPr>
        <w:t xml:space="preserve"> cases are illustrated (not to scale) in Figure 1:</w:t>
      </w:r>
    </w:p>
    <w:p w14:paraId="076776AC" w14:textId="77777777" w:rsidR="00E97158" w:rsidRDefault="00E97158" w:rsidP="00E97158">
      <w:pPr>
        <w:pStyle w:val="ListParagraph"/>
        <w:numPr>
          <w:ilvl w:val="0"/>
          <w:numId w:val="34"/>
        </w:numPr>
        <w:spacing w:after="0"/>
        <w:ind w:firstLineChars="0"/>
        <w:rPr>
          <w:rFonts w:eastAsia="Arial"/>
          <w:lang w:eastAsia="zh-CN"/>
        </w:rPr>
      </w:pPr>
      <w:r>
        <w:rPr>
          <w:rFonts w:eastAsia="Arial"/>
          <w:lang w:eastAsia="zh-CN"/>
        </w:rPr>
        <w:t>On the top two rows, the initial UE CBW situation is illustrated:</w:t>
      </w:r>
    </w:p>
    <w:p w14:paraId="33E6689C" w14:textId="33800976" w:rsidR="00E97158" w:rsidRDefault="00E97158" w:rsidP="00E97158">
      <w:pPr>
        <w:pStyle w:val="ListParagraph"/>
        <w:numPr>
          <w:ilvl w:val="1"/>
          <w:numId w:val="34"/>
        </w:numPr>
        <w:spacing w:after="0"/>
        <w:ind w:firstLineChars="0"/>
        <w:rPr>
          <w:rFonts w:eastAsia="Arial"/>
          <w:lang w:eastAsia="zh-CN"/>
        </w:rPr>
      </w:pPr>
      <w:r w:rsidRPr="00E97158">
        <w:rPr>
          <w:rFonts w:eastAsia="Arial"/>
          <w:lang w:eastAsia="zh-CN"/>
        </w:rPr>
        <w:lastRenderedPageBreak/>
        <w:t xml:space="preserve">ACLR range (dark blue) </w:t>
      </w:r>
      <w:r>
        <w:rPr>
          <w:rFonts w:eastAsia="Arial"/>
          <w:lang w:eastAsia="zh-CN"/>
        </w:rPr>
        <w:t>with the 270% CBW limit first,</w:t>
      </w:r>
    </w:p>
    <w:p w14:paraId="14B7E5E9" w14:textId="78073126" w:rsidR="00E97158" w:rsidRDefault="00E97158" w:rsidP="00E97158">
      <w:pPr>
        <w:pStyle w:val="ListParagraph"/>
        <w:numPr>
          <w:ilvl w:val="1"/>
          <w:numId w:val="34"/>
        </w:numPr>
        <w:spacing w:after="0"/>
        <w:ind w:firstLineChars="0"/>
        <w:rPr>
          <w:rFonts w:eastAsia="Arial"/>
          <w:lang w:eastAsia="zh-CN"/>
        </w:rPr>
      </w:pPr>
      <w:r>
        <w:rPr>
          <w:rFonts w:eastAsia="Arial"/>
          <w:lang w:eastAsia="zh-CN"/>
        </w:rPr>
        <w:t>SEM and SE ranges in dBm/MHz next (for legibility, the first MHz part of the SEM is not shown)</w:t>
      </w:r>
      <w:r w:rsidR="00D91C7D">
        <w:rPr>
          <w:rFonts w:eastAsia="Arial"/>
          <w:lang w:eastAsia="zh-CN"/>
        </w:rPr>
        <w:t>.</w:t>
      </w:r>
    </w:p>
    <w:p w14:paraId="75D25876" w14:textId="4A9CAF8A" w:rsidR="00E97158" w:rsidRDefault="00E97158" w:rsidP="00E97158">
      <w:pPr>
        <w:pStyle w:val="ListParagraph"/>
        <w:numPr>
          <w:ilvl w:val="0"/>
          <w:numId w:val="34"/>
        </w:numPr>
        <w:spacing w:after="0"/>
        <w:ind w:firstLineChars="0"/>
        <w:rPr>
          <w:rFonts w:eastAsia="Arial"/>
          <w:lang w:eastAsia="zh-CN"/>
        </w:rPr>
      </w:pPr>
      <w:r>
        <w:rPr>
          <w:rFonts w:eastAsia="Arial"/>
          <w:lang w:eastAsia="zh-CN"/>
        </w:rPr>
        <w:t>The next two rows show the same for the case where the UE CBW is extended by CBW/2 and ACLR region is defined based on UE CBW</w:t>
      </w:r>
      <w:r w:rsidR="00D91C7D">
        <w:rPr>
          <w:rFonts w:eastAsia="Arial"/>
          <w:lang w:eastAsia="zh-CN"/>
        </w:rPr>
        <w:t>.</w:t>
      </w:r>
    </w:p>
    <w:p w14:paraId="10487DDD" w14:textId="2CD03562" w:rsidR="00E97158" w:rsidRDefault="00E97158" w:rsidP="00E97158">
      <w:pPr>
        <w:pStyle w:val="ListParagraph"/>
        <w:numPr>
          <w:ilvl w:val="0"/>
          <w:numId w:val="34"/>
        </w:numPr>
        <w:spacing w:after="0"/>
        <w:ind w:firstLineChars="0"/>
        <w:rPr>
          <w:rFonts w:eastAsia="Arial"/>
          <w:lang w:eastAsia="zh-CN"/>
        </w:rPr>
      </w:pPr>
      <w:r>
        <w:rPr>
          <w:rFonts w:eastAsia="Arial"/>
          <w:lang w:eastAsia="zh-CN"/>
        </w:rPr>
        <w:t>The next two rows show the same for the case where the UE NBR is extended by NRB/2 and ACLR region is defined based on UE CBW</w:t>
      </w:r>
      <w:r w:rsidR="00D91C7D">
        <w:rPr>
          <w:rFonts w:eastAsia="Arial"/>
          <w:lang w:eastAsia="zh-CN"/>
        </w:rPr>
        <w:t>.</w:t>
      </w:r>
    </w:p>
    <w:p w14:paraId="559DC40A" w14:textId="553351A6" w:rsidR="00E97158" w:rsidRDefault="00E97158" w:rsidP="00E97158">
      <w:pPr>
        <w:pStyle w:val="ListParagraph"/>
        <w:numPr>
          <w:ilvl w:val="0"/>
          <w:numId w:val="34"/>
        </w:numPr>
        <w:spacing w:after="0"/>
        <w:ind w:firstLineChars="0"/>
        <w:rPr>
          <w:rFonts w:eastAsia="Arial"/>
          <w:lang w:eastAsia="zh-CN"/>
        </w:rPr>
      </w:pPr>
      <w:r>
        <w:rPr>
          <w:rFonts w:eastAsia="Arial"/>
          <w:lang w:eastAsia="zh-CN"/>
        </w:rPr>
        <w:t xml:space="preserve">The next two rows show the same for the case where the UE NBR is extended by NRB/2 and ACLR region is defined based on the extended </w:t>
      </w:r>
      <w:r w:rsidR="00D91C7D">
        <w:rPr>
          <w:rFonts w:eastAsia="Arial"/>
          <w:lang w:eastAsia="zh-CN"/>
        </w:rPr>
        <w:t>BW.</w:t>
      </w:r>
    </w:p>
    <w:p w14:paraId="5C93BBAA" w14:textId="21D275C3" w:rsidR="00D91C7D" w:rsidRDefault="00D91C7D" w:rsidP="00D91C7D">
      <w:pPr>
        <w:pStyle w:val="ListParagraph"/>
        <w:numPr>
          <w:ilvl w:val="0"/>
          <w:numId w:val="34"/>
        </w:numPr>
        <w:spacing w:after="0"/>
        <w:ind w:firstLineChars="0"/>
        <w:rPr>
          <w:rFonts w:eastAsia="Arial"/>
          <w:lang w:eastAsia="zh-CN"/>
        </w:rPr>
      </w:pPr>
      <w:r>
        <w:rPr>
          <w:rFonts w:eastAsia="Arial"/>
          <w:lang w:eastAsia="zh-CN"/>
        </w:rPr>
        <w:t>Finally, the last two rows illustrate the IMD3 and IMD5 range for the inner and outer allocations respectively</w:t>
      </w:r>
      <w:r w:rsidR="007D1027">
        <w:rPr>
          <w:rFonts w:eastAsia="Arial"/>
          <w:lang w:eastAsia="zh-CN"/>
        </w:rPr>
        <w:t xml:space="preserve"> (</w:t>
      </w:r>
      <w:r w:rsidR="001478F7">
        <w:rPr>
          <w:rFonts w:eastAsia="Arial"/>
          <w:lang w:eastAsia="zh-CN"/>
        </w:rPr>
        <w:t>IMD of the allocated RB range and its image</w:t>
      </w:r>
      <w:r w:rsidR="007D1027">
        <w:rPr>
          <w:rFonts w:eastAsia="Arial"/>
          <w:lang w:eastAsia="zh-CN"/>
        </w:rPr>
        <w:t>)</w:t>
      </w:r>
      <w:r w:rsidR="001478F7">
        <w:rPr>
          <w:rFonts w:eastAsia="Arial"/>
          <w:lang w:eastAsia="zh-CN"/>
        </w:rPr>
        <w:t>.</w:t>
      </w:r>
    </w:p>
    <w:p w14:paraId="7B313255" w14:textId="77777777" w:rsidR="00D91C7D" w:rsidRPr="00D91C7D" w:rsidRDefault="00D91C7D" w:rsidP="00D91C7D">
      <w:pPr>
        <w:spacing w:after="0"/>
        <w:rPr>
          <w:rFonts w:eastAsia="Arial"/>
          <w:lang w:eastAsia="zh-CN"/>
        </w:rPr>
      </w:pPr>
    </w:p>
    <w:p w14:paraId="1FCB8F6D" w14:textId="77777777" w:rsidR="000E74B3" w:rsidRDefault="000E74B3" w:rsidP="00281B38">
      <w:pPr>
        <w:keepNext/>
        <w:spacing w:after="0"/>
      </w:pPr>
      <w:r>
        <w:rPr>
          <w:rFonts w:eastAsia="Arial"/>
          <w:noProof/>
          <w:lang w:eastAsia="zh-CN"/>
        </w:rPr>
        <w:drawing>
          <wp:inline distT="0" distB="0" distL="0" distR="0" wp14:anchorId="1409ED0E" wp14:editId="3616A001">
            <wp:extent cx="6697345" cy="1274550"/>
            <wp:effectExtent l="19050" t="19050" r="27305" b="209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743022" cy="1283243"/>
                    </a:xfrm>
                    <a:prstGeom prst="rect">
                      <a:avLst/>
                    </a:prstGeom>
                    <a:noFill/>
                    <a:ln>
                      <a:solidFill>
                        <a:schemeClr val="tx1"/>
                      </a:solidFill>
                    </a:ln>
                  </pic:spPr>
                </pic:pic>
              </a:graphicData>
            </a:graphic>
          </wp:inline>
        </w:drawing>
      </w:r>
    </w:p>
    <w:p w14:paraId="0946F06C" w14:textId="79E5DEBD" w:rsidR="000E74B3" w:rsidRDefault="000E74B3" w:rsidP="000E74B3">
      <w:pPr>
        <w:pStyle w:val="Caption"/>
        <w:rPr>
          <w:rFonts w:eastAsia="Arial"/>
          <w:lang w:eastAsia="zh-CN"/>
        </w:rPr>
      </w:pPr>
      <w:r>
        <w:t xml:space="preserve">Figure </w:t>
      </w:r>
      <w:r>
        <w:fldChar w:fldCharType="begin"/>
      </w:r>
      <w:r>
        <w:instrText xml:space="preserve"> SEQ Figure \* ARABIC </w:instrText>
      </w:r>
      <w:r>
        <w:fldChar w:fldCharType="separate"/>
      </w:r>
      <w:r w:rsidR="003946EA">
        <w:rPr>
          <w:noProof/>
        </w:rPr>
        <w:t>1</w:t>
      </w:r>
      <w:r>
        <w:fldChar w:fldCharType="end"/>
      </w:r>
      <w:r>
        <w:t>: UE inner and outer IMD3 and IMD5 ranges versus different BW extensions and OOBE ranges.</w:t>
      </w:r>
    </w:p>
    <w:p w14:paraId="7839A916" w14:textId="7F8E26CE" w:rsidR="000E74B3" w:rsidRDefault="00D91C7D" w:rsidP="00D91C7D">
      <w:pPr>
        <w:spacing w:after="0"/>
        <w:rPr>
          <w:rFonts w:eastAsia="Arial"/>
          <w:b/>
          <w:bCs/>
          <w:lang w:eastAsia="zh-CN"/>
        </w:rPr>
      </w:pPr>
      <w:r w:rsidRPr="00D91C7D">
        <w:rPr>
          <w:rFonts w:eastAsia="Arial"/>
          <w:b/>
          <w:bCs/>
          <w:lang w:eastAsia="zh-CN"/>
        </w:rPr>
        <w:t>Observations:</w:t>
      </w:r>
    </w:p>
    <w:p w14:paraId="50B98178" w14:textId="20A6D547" w:rsidR="00C96E0E" w:rsidRPr="00C96E0E" w:rsidRDefault="00C96E0E" w:rsidP="00C96E0E">
      <w:pPr>
        <w:pStyle w:val="ListParagraph"/>
        <w:numPr>
          <w:ilvl w:val="0"/>
          <w:numId w:val="35"/>
        </w:numPr>
        <w:overflowPunct/>
        <w:autoSpaceDE/>
        <w:autoSpaceDN/>
        <w:adjustRightInd/>
        <w:spacing w:after="0"/>
        <w:ind w:firstLineChars="0"/>
        <w:textAlignment w:val="auto"/>
        <w:rPr>
          <w:rFonts w:eastAsiaTheme="minorEastAsia"/>
          <w:b/>
          <w:bCs/>
          <w:lang w:val="en-US"/>
        </w:rPr>
      </w:pPr>
      <w:r>
        <w:rPr>
          <w:rFonts w:eastAsiaTheme="minorEastAsia"/>
          <w:b/>
          <w:bCs/>
          <w:lang w:val="en-US"/>
        </w:rPr>
        <w:t>T</w:t>
      </w:r>
      <w:r w:rsidRPr="00C96E0E">
        <w:rPr>
          <w:rFonts w:eastAsiaTheme="minorEastAsia"/>
          <w:b/>
          <w:bCs/>
          <w:lang w:val="en-US"/>
        </w:rPr>
        <w:t xml:space="preserve">he emission bandwidth of a UE with </w:t>
      </w:r>
      <w:r w:rsidR="007D1027">
        <w:rPr>
          <w:rFonts w:eastAsiaTheme="minorEastAsia"/>
          <w:b/>
          <w:bCs/>
          <w:lang w:val="en-US"/>
        </w:rPr>
        <w:t xml:space="preserve">an </w:t>
      </w:r>
      <w:r w:rsidRPr="00C96E0E">
        <w:rPr>
          <w:rFonts w:eastAsiaTheme="minorEastAsia"/>
          <w:b/>
          <w:bCs/>
          <w:lang w:val="en-US"/>
        </w:rPr>
        <w:t>extended bandwidth is lower than the equivalent UE using the entire extended bandwidth</w:t>
      </w:r>
      <w:r w:rsidR="007D1027">
        <w:rPr>
          <w:rFonts w:eastAsiaTheme="minorEastAsia"/>
          <w:b/>
          <w:bCs/>
          <w:lang w:val="en-US"/>
        </w:rPr>
        <w:t>. This</w:t>
      </w:r>
      <w:r w:rsidRPr="00C96E0E">
        <w:rPr>
          <w:rFonts w:eastAsiaTheme="minorEastAsia"/>
          <w:b/>
          <w:bCs/>
          <w:lang w:val="en-US"/>
        </w:rPr>
        <w:t xml:space="preserve"> provid</w:t>
      </w:r>
      <w:r w:rsidR="007D1027">
        <w:rPr>
          <w:rFonts w:eastAsiaTheme="minorEastAsia"/>
          <w:b/>
          <w:bCs/>
          <w:lang w:val="en-US"/>
        </w:rPr>
        <w:t>es</w:t>
      </w:r>
      <w:r w:rsidRPr="00C96E0E">
        <w:rPr>
          <w:rFonts w:eastAsiaTheme="minorEastAsia"/>
          <w:b/>
          <w:bCs/>
          <w:lang w:val="en-US"/>
        </w:rPr>
        <w:t xml:space="preserve"> additional margin on emissions and enabl</w:t>
      </w:r>
      <w:r w:rsidR="007D1027">
        <w:rPr>
          <w:rFonts w:eastAsiaTheme="minorEastAsia"/>
          <w:b/>
          <w:bCs/>
          <w:lang w:val="en-US"/>
        </w:rPr>
        <w:t>es</w:t>
      </w:r>
      <w:r w:rsidRPr="00C96E0E">
        <w:rPr>
          <w:rFonts w:eastAsiaTheme="minorEastAsia"/>
          <w:b/>
          <w:bCs/>
          <w:lang w:val="en-US"/>
        </w:rPr>
        <w:t xml:space="preserve"> turning some/all outer allocations into inner allocations.</w:t>
      </w:r>
    </w:p>
    <w:p w14:paraId="0B73A027" w14:textId="2A529B29" w:rsidR="00D91C7D" w:rsidRDefault="00D91C7D" w:rsidP="00D91C7D">
      <w:pPr>
        <w:pStyle w:val="ListParagraph"/>
        <w:numPr>
          <w:ilvl w:val="0"/>
          <w:numId w:val="35"/>
        </w:numPr>
        <w:spacing w:after="0"/>
        <w:ind w:firstLineChars="0"/>
        <w:rPr>
          <w:rFonts w:eastAsia="Arial"/>
          <w:b/>
          <w:bCs/>
          <w:lang w:eastAsia="zh-CN"/>
        </w:rPr>
      </w:pPr>
      <w:r>
        <w:rPr>
          <w:rFonts w:eastAsia="Arial"/>
          <w:b/>
          <w:bCs/>
          <w:lang w:eastAsia="zh-CN"/>
        </w:rPr>
        <w:t xml:space="preserve">Only the UE NRB/2 extended NRB (or CBW/2 extended CBW) using </w:t>
      </w:r>
      <w:r w:rsidR="007D1027">
        <w:rPr>
          <w:rFonts w:eastAsia="Arial"/>
          <w:b/>
          <w:bCs/>
          <w:lang w:eastAsia="zh-CN"/>
        </w:rPr>
        <w:t xml:space="preserve">the </w:t>
      </w:r>
      <w:r>
        <w:rPr>
          <w:rFonts w:eastAsia="Arial"/>
          <w:b/>
          <w:bCs/>
          <w:lang w:eastAsia="zh-CN"/>
        </w:rPr>
        <w:t>extended BW OOBE range does not cover the 270% CBW by overlapping the -30dBm/MHz SE region.</w:t>
      </w:r>
    </w:p>
    <w:p w14:paraId="65EEE648" w14:textId="661C6D07" w:rsidR="00F34E3E" w:rsidRDefault="00F34E3E" w:rsidP="00D91C7D">
      <w:pPr>
        <w:pStyle w:val="ListParagraph"/>
        <w:numPr>
          <w:ilvl w:val="0"/>
          <w:numId w:val="35"/>
        </w:numPr>
        <w:spacing w:after="0"/>
        <w:ind w:firstLineChars="0"/>
        <w:rPr>
          <w:rFonts w:eastAsia="Arial"/>
          <w:b/>
          <w:bCs/>
          <w:lang w:eastAsia="zh-CN"/>
        </w:rPr>
      </w:pPr>
      <w:r>
        <w:rPr>
          <w:rFonts w:eastAsia="Arial"/>
          <w:b/>
          <w:bCs/>
          <w:lang w:eastAsia="zh-CN"/>
        </w:rPr>
        <w:t>Outer IMD5 stay confined within the 270% CBW range.</w:t>
      </w:r>
    </w:p>
    <w:p w14:paraId="1343F2E0" w14:textId="65A582DB" w:rsidR="00D91C7D" w:rsidRDefault="00D91C7D" w:rsidP="00D91C7D">
      <w:pPr>
        <w:pStyle w:val="ListParagraph"/>
        <w:numPr>
          <w:ilvl w:val="0"/>
          <w:numId w:val="35"/>
        </w:numPr>
        <w:spacing w:after="0"/>
        <w:ind w:firstLineChars="0"/>
        <w:rPr>
          <w:rFonts w:eastAsia="Arial"/>
          <w:b/>
          <w:bCs/>
          <w:lang w:eastAsia="zh-CN"/>
        </w:rPr>
      </w:pPr>
      <w:r>
        <w:rPr>
          <w:rFonts w:eastAsia="Arial"/>
          <w:b/>
          <w:bCs/>
          <w:lang w:eastAsia="zh-CN"/>
        </w:rPr>
        <w:t>For the initial UE CBW situation:</w:t>
      </w:r>
    </w:p>
    <w:p w14:paraId="1999FB8A" w14:textId="6F706C72" w:rsidR="00D91C7D" w:rsidRDefault="00D91C7D" w:rsidP="00D91C7D">
      <w:pPr>
        <w:pStyle w:val="ListParagraph"/>
        <w:numPr>
          <w:ilvl w:val="1"/>
          <w:numId w:val="35"/>
        </w:numPr>
        <w:spacing w:after="0"/>
        <w:ind w:firstLineChars="0"/>
        <w:rPr>
          <w:rFonts w:eastAsia="Arial"/>
          <w:b/>
          <w:bCs/>
          <w:lang w:eastAsia="zh-CN"/>
        </w:rPr>
      </w:pPr>
      <w:r>
        <w:rPr>
          <w:rFonts w:eastAsia="Arial"/>
          <w:b/>
          <w:bCs/>
          <w:lang w:eastAsia="zh-CN"/>
        </w:rPr>
        <w:t>Inner IMD3 range overlaps with ACLR1 and -10dBm/MHz SEM range</w:t>
      </w:r>
    </w:p>
    <w:p w14:paraId="7F2B2C66" w14:textId="158520E2" w:rsidR="00D91C7D" w:rsidRPr="00D91C7D" w:rsidRDefault="00D91C7D" w:rsidP="00D91C7D">
      <w:pPr>
        <w:pStyle w:val="ListParagraph"/>
        <w:numPr>
          <w:ilvl w:val="1"/>
          <w:numId w:val="35"/>
        </w:numPr>
        <w:spacing w:after="0"/>
        <w:ind w:firstLineChars="0"/>
        <w:rPr>
          <w:rFonts w:eastAsia="Arial"/>
          <w:b/>
          <w:bCs/>
          <w:lang w:eastAsia="zh-CN"/>
        </w:rPr>
      </w:pPr>
      <w:r>
        <w:rPr>
          <w:rFonts w:eastAsia="Arial"/>
          <w:b/>
          <w:bCs/>
          <w:lang w:eastAsia="zh-CN"/>
        </w:rPr>
        <w:t>Inner IMD5 range overlaps with ACLR1 and -13dBm/MHz SEM range</w:t>
      </w:r>
    </w:p>
    <w:p w14:paraId="36535405" w14:textId="1DD94B90" w:rsidR="00D91C7D" w:rsidRPr="00D91C7D" w:rsidRDefault="00D91C7D" w:rsidP="00D91C7D">
      <w:pPr>
        <w:pStyle w:val="ListParagraph"/>
        <w:numPr>
          <w:ilvl w:val="1"/>
          <w:numId w:val="35"/>
        </w:numPr>
        <w:spacing w:after="0"/>
        <w:ind w:firstLineChars="0"/>
        <w:rPr>
          <w:rFonts w:eastAsia="Arial"/>
          <w:b/>
          <w:bCs/>
          <w:lang w:eastAsia="zh-CN"/>
        </w:rPr>
      </w:pPr>
      <w:r>
        <w:rPr>
          <w:rFonts w:eastAsia="Arial"/>
          <w:b/>
          <w:bCs/>
          <w:lang w:eastAsia="zh-CN"/>
        </w:rPr>
        <w:t>Outer IMD3 range overlaps with ACLR1 and -1</w:t>
      </w:r>
      <w:r w:rsidR="001478F7">
        <w:rPr>
          <w:rFonts w:eastAsia="Arial"/>
          <w:b/>
          <w:bCs/>
          <w:lang w:eastAsia="zh-CN"/>
        </w:rPr>
        <w:t>3</w:t>
      </w:r>
      <w:r>
        <w:rPr>
          <w:rFonts w:eastAsia="Arial"/>
          <w:b/>
          <w:bCs/>
          <w:lang w:eastAsia="zh-CN"/>
        </w:rPr>
        <w:t>dBm/MHz SEM range</w:t>
      </w:r>
    </w:p>
    <w:p w14:paraId="35CB0D2C" w14:textId="5F7F9568" w:rsidR="00D91C7D" w:rsidRPr="00D91C7D" w:rsidRDefault="00D91C7D" w:rsidP="00D91C7D">
      <w:pPr>
        <w:pStyle w:val="ListParagraph"/>
        <w:numPr>
          <w:ilvl w:val="1"/>
          <w:numId w:val="35"/>
        </w:numPr>
        <w:spacing w:after="0"/>
        <w:ind w:firstLineChars="0"/>
        <w:rPr>
          <w:rFonts w:eastAsia="Arial"/>
          <w:b/>
          <w:bCs/>
          <w:lang w:eastAsia="zh-CN"/>
        </w:rPr>
      </w:pPr>
      <w:r>
        <w:rPr>
          <w:rFonts w:eastAsia="Arial"/>
          <w:b/>
          <w:bCs/>
          <w:lang w:eastAsia="zh-CN"/>
        </w:rPr>
        <w:t>Outer IMD5 range overlaps with ACLR1 and -</w:t>
      </w:r>
      <w:r w:rsidR="001478F7">
        <w:rPr>
          <w:rFonts w:eastAsia="Arial"/>
          <w:b/>
          <w:bCs/>
          <w:lang w:eastAsia="zh-CN"/>
        </w:rPr>
        <w:t>3</w:t>
      </w:r>
      <w:r>
        <w:rPr>
          <w:rFonts w:eastAsia="Arial"/>
          <w:b/>
          <w:bCs/>
          <w:lang w:eastAsia="zh-CN"/>
        </w:rPr>
        <w:t>0dBm/MHz SEM range</w:t>
      </w:r>
    </w:p>
    <w:p w14:paraId="0E36594A" w14:textId="1367BD55" w:rsidR="00F34E3E" w:rsidRDefault="00F34E3E" w:rsidP="00F34E3E">
      <w:pPr>
        <w:pStyle w:val="ListParagraph"/>
        <w:numPr>
          <w:ilvl w:val="0"/>
          <w:numId w:val="35"/>
        </w:numPr>
        <w:spacing w:after="0"/>
        <w:ind w:firstLineChars="0"/>
        <w:rPr>
          <w:rFonts w:eastAsia="Arial"/>
          <w:b/>
          <w:bCs/>
          <w:lang w:eastAsia="zh-CN"/>
        </w:rPr>
      </w:pPr>
      <w:r>
        <w:rPr>
          <w:rFonts w:eastAsia="Arial"/>
          <w:b/>
          <w:bCs/>
          <w:lang w:eastAsia="zh-CN"/>
        </w:rPr>
        <w:t>For the UE CBW/2 or NRB/2 extended case with UE CBW OOBE:</w:t>
      </w:r>
    </w:p>
    <w:p w14:paraId="560C1DEF" w14:textId="79EEE9F2" w:rsidR="00F34E3E" w:rsidRDefault="00F34E3E" w:rsidP="00F34E3E">
      <w:pPr>
        <w:pStyle w:val="ListParagraph"/>
        <w:numPr>
          <w:ilvl w:val="1"/>
          <w:numId w:val="35"/>
        </w:numPr>
        <w:spacing w:after="0"/>
        <w:ind w:firstLineChars="0"/>
        <w:rPr>
          <w:rFonts w:eastAsia="Arial"/>
          <w:b/>
          <w:bCs/>
          <w:lang w:eastAsia="zh-CN"/>
        </w:rPr>
      </w:pPr>
      <w:r>
        <w:rPr>
          <w:rFonts w:eastAsia="Arial"/>
          <w:b/>
          <w:bCs/>
          <w:lang w:eastAsia="zh-CN"/>
        </w:rPr>
        <w:t xml:space="preserve">Inner IMD3 range overlaps with extended region and may be subject to </w:t>
      </w:r>
      <w:proofErr w:type="gramStart"/>
      <w:r>
        <w:rPr>
          <w:rFonts w:eastAsia="Arial"/>
          <w:b/>
          <w:bCs/>
          <w:lang w:eastAsia="zh-CN"/>
        </w:rPr>
        <w:t>IBE</w:t>
      </w:r>
      <w:proofErr w:type="gramEnd"/>
    </w:p>
    <w:p w14:paraId="29E5408D" w14:textId="4041B41F" w:rsidR="00F34E3E" w:rsidRPr="00D91C7D" w:rsidRDefault="00F34E3E" w:rsidP="00F34E3E">
      <w:pPr>
        <w:pStyle w:val="ListParagraph"/>
        <w:numPr>
          <w:ilvl w:val="1"/>
          <w:numId w:val="35"/>
        </w:numPr>
        <w:spacing w:after="0"/>
        <w:ind w:firstLineChars="0"/>
        <w:rPr>
          <w:rFonts w:eastAsia="Arial"/>
          <w:b/>
          <w:bCs/>
          <w:lang w:eastAsia="zh-CN"/>
        </w:rPr>
      </w:pPr>
      <w:r>
        <w:rPr>
          <w:rFonts w:eastAsia="Arial"/>
          <w:b/>
          <w:bCs/>
          <w:lang w:eastAsia="zh-CN"/>
        </w:rPr>
        <w:t>Inner IMD5 range overlaps with ACLR1 and -10dBm/MHz SEM range</w:t>
      </w:r>
    </w:p>
    <w:p w14:paraId="5AEA3C2F" w14:textId="77777777" w:rsidR="00F34E3E" w:rsidRPr="00D91C7D" w:rsidRDefault="00F34E3E" w:rsidP="00F34E3E">
      <w:pPr>
        <w:pStyle w:val="ListParagraph"/>
        <w:numPr>
          <w:ilvl w:val="1"/>
          <w:numId w:val="35"/>
        </w:numPr>
        <w:spacing w:after="0"/>
        <w:ind w:firstLineChars="0"/>
        <w:rPr>
          <w:rFonts w:eastAsia="Arial"/>
          <w:b/>
          <w:bCs/>
          <w:lang w:eastAsia="zh-CN"/>
        </w:rPr>
      </w:pPr>
      <w:r>
        <w:rPr>
          <w:rFonts w:eastAsia="Arial"/>
          <w:b/>
          <w:bCs/>
          <w:lang w:eastAsia="zh-CN"/>
        </w:rPr>
        <w:t>Outer IMD3 range overlaps with ACLR1 and -13dBm/MHz SEM range</w:t>
      </w:r>
    </w:p>
    <w:p w14:paraId="6713C48B" w14:textId="627C8D1C" w:rsidR="00F34E3E" w:rsidRPr="00D91C7D" w:rsidRDefault="00F34E3E" w:rsidP="00F34E3E">
      <w:pPr>
        <w:pStyle w:val="ListParagraph"/>
        <w:numPr>
          <w:ilvl w:val="1"/>
          <w:numId w:val="35"/>
        </w:numPr>
        <w:spacing w:after="0"/>
        <w:ind w:firstLineChars="0"/>
        <w:rPr>
          <w:rFonts w:eastAsia="Arial"/>
          <w:b/>
          <w:bCs/>
          <w:lang w:eastAsia="zh-CN"/>
        </w:rPr>
      </w:pPr>
      <w:r>
        <w:rPr>
          <w:rFonts w:eastAsia="Arial"/>
          <w:b/>
          <w:bCs/>
          <w:lang w:eastAsia="zh-CN"/>
        </w:rPr>
        <w:t>Outer IMD5 range overlaps with ACLR1 and -25dBm/MHz SEM range</w:t>
      </w:r>
    </w:p>
    <w:p w14:paraId="53B9A952" w14:textId="7FC381BC" w:rsidR="00F34E3E" w:rsidRDefault="00F34E3E" w:rsidP="00F34E3E">
      <w:pPr>
        <w:pStyle w:val="ListParagraph"/>
        <w:numPr>
          <w:ilvl w:val="0"/>
          <w:numId w:val="35"/>
        </w:numPr>
        <w:spacing w:after="0"/>
        <w:ind w:firstLineChars="0"/>
        <w:rPr>
          <w:rFonts w:eastAsia="Arial"/>
          <w:b/>
          <w:bCs/>
          <w:lang w:eastAsia="zh-CN"/>
        </w:rPr>
      </w:pPr>
      <w:r>
        <w:rPr>
          <w:rFonts w:eastAsia="Arial"/>
          <w:b/>
          <w:bCs/>
          <w:lang w:eastAsia="zh-CN"/>
        </w:rPr>
        <w:t>For the UE NRB/2 extended case with extended BW OOBE:</w:t>
      </w:r>
    </w:p>
    <w:p w14:paraId="69D4A652" w14:textId="77777777" w:rsidR="00F34E3E" w:rsidRDefault="00F34E3E" w:rsidP="00F34E3E">
      <w:pPr>
        <w:pStyle w:val="ListParagraph"/>
        <w:numPr>
          <w:ilvl w:val="1"/>
          <w:numId w:val="35"/>
        </w:numPr>
        <w:spacing w:after="0"/>
        <w:ind w:firstLineChars="0"/>
        <w:rPr>
          <w:rFonts w:eastAsia="Arial"/>
          <w:b/>
          <w:bCs/>
          <w:lang w:eastAsia="zh-CN"/>
        </w:rPr>
      </w:pPr>
      <w:r>
        <w:rPr>
          <w:rFonts w:eastAsia="Arial"/>
          <w:b/>
          <w:bCs/>
          <w:lang w:eastAsia="zh-CN"/>
        </w:rPr>
        <w:t xml:space="preserve">Inner IMD3 range overlaps with extended region and may be subject to </w:t>
      </w:r>
      <w:proofErr w:type="gramStart"/>
      <w:r>
        <w:rPr>
          <w:rFonts w:eastAsia="Arial"/>
          <w:b/>
          <w:bCs/>
          <w:lang w:eastAsia="zh-CN"/>
        </w:rPr>
        <w:t>IBE</w:t>
      </w:r>
      <w:proofErr w:type="gramEnd"/>
    </w:p>
    <w:p w14:paraId="1DFD7514" w14:textId="77777777" w:rsidR="00F34E3E" w:rsidRPr="00D91C7D" w:rsidRDefault="00F34E3E" w:rsidP="00F34E3E">
      <w:pPr>
        <w:pStyle w:val="ListParagraph"/>
        <w:numPr>
          <w:ilvl w:val="1"/>
          <w:numId w:val="35"/>
        </w:numPr>
        <w:spacing w:after="0"/>
        <w:ind w:firstLineChars="0"/>
        <w:rPr>
          <w:rFonts w:eastAsia="Arial"/>
          <w:b/>
          <w:bCs/>
          <w:lang w:eastAsia="zh-CN"/>
        </w:rPr>
      </w:pPr>
      <w:r>
        <w:rPr>
          <w:rFonts w:eastAsia="Arial"/>
          <w:b/>
          <w:bCs/>
          <w:lang w:eastAsia="zh-CN"/>
        </w:rPr>
        <w:t>Inner IMD5 range overlaps with ACLR1 and -10dBm/MHz SEM range</w:t>
      </w:r>
    </w:p>
    <w:p w14:paraId="1F813937" w14:textId="77777777" w:rsidR="00F34E3E" w:rsidRPr="00D91C7D" w:rsidRDefault="00F34E3E" w:rsidP="00F34E3E">
      <w:pPr>
        <w:pStyle w:val="ListParagraph"/>
        <w:numPr>
          <w:ilvl w:val="1"/>
          <w:numId w:val="35"/>
        </w:numPr>
        <w:spacing w:after="0"/>
        <w:ind w:firstLineChars="0"/>
        <w:rPr>
          <w:rFonts w:eastAsia="Arial"/>
          <w:b/>
          <w:bCs/>
          <w:lang w:eastAsia="zh-CN"/>
        </w:rPr>
      </w:pPr>
      <w:r>
        <w:rPr>
          <w:rFonts w:eastAsia="Arial"/>
          <w:b/>
          <w:bCs/>
          <w:lang w:eastAsia="zh-CN"/>
        </w:rPr>
        <w:t>Outer IMD3 range overlaps with ACLR1 and -13dBm/MHz SEM range</w:t>
      </w:r>
    </w:p>
    <w:p w14:paraId="3B7CA841" w14:textId="3E1739BA" w:rsidR="00F34E3E" w:rsidRPr="00D91C7D" w:rsidRDefault="00F34E3E" w:rsidP="00F34E3E">
      <w:pPr>
        <w:pStyle w:val="ListParagraph"/>
        <w:numPr>
          <w:ilvl w:val="1"/>
          <w:numId w:val="35"/>
        </w:numPr>
        <w:spacing w:after="0"/>
        <w:ind w:firstLineChars="0"/>
        <w:rPr>
          <w:rFonts w:eastAsia="Arial"/>
          <w:b/>
          <w:bCs/>
          <w:lang w:eastAsia="zh-CN"/>
        </w:rPr>
      </w:pPr>
      <w:r>
        <w:rPr>
          <w:rFonts w:eastAsia="Arial"/>
          <w:b/>
          <w:bCs/>
          <w:lang w:eastAsia="zh-CN"/>
        </w:rPr>
        <w:t>Outer IMD5 range overlaps with ACLR1 and -13dBm/MHz SEM range</w:t>
      </w:r>
      <w:r w:rsidR="007D1027">
        <w:rPr>
          <w:rFonts w:eastAsia="Arial"/>
          <w:b/>
          <w:bCs/>
          <w:lang w:eastAsia="zh-CN"/>
        </w:rPr>
        <w:t>.</w:t>
      </w:r>
    </w:p>
    <w:p w14:paraId="46FD5177" w14:textId="77777777" w:rsidR="00D91C7D" w:rsidRPr="00D91C7D" w:rsidRDefault="00D91C7D" w:rsidP="00D91C7D">
      <w:pPr>
        <w:spacing w:after="0"/>
        <w:rPr>
          <w:rFonts w:eastAsia="Arial"/>
          <w:b/>
          <w:bCs/>
          <w:lang w:eastAsia="zh-CN"/>
        </w:rPr>
      </w:pPr>
    </w:p>
    <w:p w14:paraId="64806280" w14:textId="7257F0AC" w:rsidR="000E74B3" w:rsidRDefault="00281B38" w:rsidP="00281B38">
      <w:pPr>
        <w:spacing w:after="0"/>
        <w:rPr>
          <w:rFonts w:eastAsia="Arial"/>
          <w:lang w:eastAsia="zh-CN"/>
        </w:rPr>
      </w:pPr>
      <w:r>
        <w:rPr>
          <w:rFonts w:eastAsia="Arial"/>
          <w:lang w:eastAsia="zh-CN"/>
        </w:rPr>
        <w:t>Based on the above observations, the NBR o</w:t>
      </w:r>
      <w:r w:rsidR="007D1027">
        <w:rPr>
          <w:rFonts w:eastAsia="Arial"/>
          <w:lang w:eastAsia="zh-CN"/>
        </w:rPr>
        <w:t>r</w:t>
      </w:r>
      <w:r>
        <w:rPr>
          <w:rFonts w:eastAsia="Arial"/>
          <w:lang w:eastAsia="zh-CN"/>
        </w:rPr>
        <w:t xml:space="preserve"> CBW extension approach have the same behaviour:</w:t>
      </w:r>
    </w:p>
    <w:p w14:paraId="33F3AA7F" w14:textId="656FFAAB" w:rsidR="00281B38" w:rsidRDefault="00281B38" w:rsidP="00281B38">
      <w:pPr>
        <w:pStyle w:val="ListParagraph"/>
        <w:numPr>
          <w:ilvl w:val="0"/>
          <w:numId w:val="36"/>
        </w:numPr>
        <w:spacing w:after="0"/>
        <w:ind w:firstLineChars="0"/>
        <w:rPr>
          <w:rFonts w:eastAsia="Arial"/>
          <w:lang w:eastAsia="zh-CN"/>
        </w:rPr>
      </w:pPr>
      <w:r>
        <w:rPr>
          <w:rFonts w:eastAsia="Arial"/>
          <w:lang w:eastAsia="zh-CN"/>
        </w:rPr>
        <w:t xml:space="preserve">The -30dBm/MHz SE region </w:t>
      </w:r>
      <w:r w:rsidR="007D1027">
        <w:rPr>
          <w:rFonts w:eastAsia="Arial"/>
          <w:lang w:eastAsia="zh-CN"/>
        </w:rPr>
        <w:t xml:space="preserve">happens before </w:t>
      </w:r>
      <w:r>
        <w:rPr>
          <w:rFonts w:eastAsia="Arial"/>
          <w:lang w:eastAsia="zh-CN"/>
        </w:rPr>
        <w:t>270% CBW</w:t>
      </w:r>
      <w:r w:rsidR="007D1027">
        <w:rPr>
          <w:rFonts w:eastAsia="Arial"/>
          <w:lang w:eastAsia="zh-CN"/>
        </w:rPr>
        <w:t xml:space="preserve"> is reached</w:t>
      </w:r>
      <w:r w:rsidR="00323A56">
        <w:rPr>
          <w:rFonts w:eastAsia="Arial"/>
          <w:lang w:eastAsia="zh-CN"/>
        </w:rPr>
        <w:t>.</w:t>
      </w:r>
    </w:p>
    <w:p w14:paraId="77F271A5" w14:textId="44CB04AE" w:rsidR="00281B38" w:rsidRDefault="00281B38" w:rsidP="00281B38">
      <w:pPr>
        <w:pStyle w:val="ListParagraph"/>
        <w:numPr>
          <w:ilvl w:val="0"/>
          <w:numId w:val="36"/>
        </w:numPr>
        <w:spacing w:after="0"/>
        <w:ind w:firstLineChars="0"/>
        <w:rPr>
          <w:rFonts w:eastAsia="Arial"/>
          <w:lang w:eastAsia="zh-CN"/>
        </w:rPr>
      </w:pPr>
      <w:r>
        <w:rPr>
          <w:rFonts w:eastAsia="Arial"/>
          <w:lang w:eastAsia="zh-CN"/>
        </w:rPr>
        <w:t>The outer IMD3 has a 3dB more stringent SEM requirement than the initial inner IMD3</w:t>
      </w:r>
      <w:r w:rsidR="00323A56">
        <w:rPr>
          <w:rFonts w:eastAsia="Arial"/>
          <w:lang w:eastAsia="zh-CN"/>
        </w:rPr>
        <w:t>.</w:t>
      </w:r>
    </w:p>
    <w:p w14:paraId="6D1D75F1" w14:textId="1C723B59" w:rsidR="00281B38" w:rsidRDefault="00281B38" w:rsidP="00281B38">
      <w:pPr>
        <w:pStyle w:val="ListParagraph"/>
        <w:numPr>
          <w:ilvl w:val="0"/>
          <w:numId w:val="36"/>
        </w:numPr>
        <w:spacing w:after="0"/>
        <w:ind w:firstLineChars="0"/>
        <w:rPr>
          <w:rFonts w:eastAsia="Arial"/>
          <w:lang w:eastAsia="zh-CN"/>
        </w:rPr>
      </w:pPr>
      <w:r>
        <w:rPr>
          <w:rFonts w:eastAsia="Arial"/>
          <w:lang w:eastAsia="zh-CN"/>
        </w:rPr>
        <w:t>The outer IMD5 has a 1</w:t>
      </w:r>
      <w:r w:rsidR="007D1027">
        <w:rPr>
          <w:rFonts w:eastAsia="Arial"/>
          <w:lang w:eastAsia="zh-CN"/>
        </w:rPr>
        <w:t>2</w:t>
      </w:r>
      <w:r>
        <w:rPr>
          <w:rFonts w:eastAsia="Arial"/>
          <w:lang w:eastAsia="zh-CN"/>
        </w:rPr>
        <w:t>dB more stringent SEM requirement than the initial inner IMD</w:t>
      </w:r>
      <w:r w:rsidR="00323A56">
        <w:rPr>
          <w:rFonts w:eastAsia="Arial"/>
          <w:lang w:eastAsia="zh-CN"/>
        </w:rPr>
        <w:t xml:space="preserve">5. Note that with the OOBE region based on extended BW, the requirement would </w:t>
      </w:r>
      <w:r w:rsidR="007D1027">
        <w:rPr>
          <w:rFonts w:eastAsia="Arial"/>
          <w:lang w:eastAsia="zh-CN"/>
        </w:rPr>
        <w:t>stay the same</w:t>
      </w:r>
      <w:r w:rsidR="00323A56">
        <w:rPr>
          <w:rFonts w:eastAsia="Arial"/>
          <w:lang w:eastAsia="zh-CN"/>
        </w:rPr>
        <w:t>.</w:t>
      </w:r>
    </w:p>
    <w:p w14:paraId="244D7205" w14:textId="03475714" w:rsidR="00281B38" w:rsidRDefault="00281B38" w:rsidP="00281B38">
      <w:pPr>
        <w:pStyle w:val="ListParagraph"/>
        <w:numPr>
          <w:ilvl w:val="0"/>
          <w:numId w:val="36"/>
        </w:numPr>
        <w:spacing w:after="0"/>
        <w:ind w:firstLineChars="0"/>
        <w:rPr>
          <w:rFonts w:eastAsia="Arial"/>
          <w:lang w:eastAsia="zh-CN"/>
        </w:rPr>
      </w:pPr>
      <w:r>
        <w:rPr>
          <w:rFonts w:eastAsia="Arial"/>
          <w:lang w:eastAsia="zh-CN"/>
        </w:rPr>
        <w:t>The outer IMD3</w:t>
      </w:r>
      <w:r w:rsidR="007D1027">
        <w:rPr>
          <w:rFonts w:eastAsia="Arial"/>
          <w:lang w:eastAsia="zh-CN"/>
        </w:rPr>
        <w:t xml:space="preserve"> </w:t>
      </w:r>
      <w:r>
        <w:rPr>
          <w:rFonts w:eastAsia="Arial"/>
          <w:lang w:eastAsia="zh-CN"/>
        </w:rPr>
        <w:t>have similar overlap with extended case ACLR than the inner IMD3/5 of the initial case</w:t>
      </w:r>
      <w:r w:rsidR="00323A56">
        <w:rPr>
          <w:rFonts w:eastAsia="Arial"/>
          <w:lang w:eastAsia="zh-CN"/>
        </w:rPr>
        <w:t>.</w:t>
      </w:r>
    </w:p>
    <w:p w14:paraId="4352993D" w14:textId="17BF4A23" w:rsidR="00281B38" w:rsidRDefault="00281B38" w:rsidP="00323A56">
      <w:pPr>
        <w:spacing w:after="0"/>
        <w:rPr>
          <w:rFonts w:eastAsia="Arial"/>
          <w:lang w:eastAsia="zh-CN"/>
        </w:rPr>
      </w:pPr>
    </w:p>
    <w:p w14:paraId="3F7D4854" w14:textId="4FC25FE8" w:rsidR="00574379" w:rsidRDefault="00281B38" w:rsidP="00281B38">
      <w:pPr>
        <w:rPr>
          <w:rFonts w:eastAsia="Arial"/>
          <w:lang w:eastAsia="zh-CN"/>
        </w:rPr>
      </w:pPr>
      <w:r>
        <w:rPr>
          <w:rFonts w:eastAsia="Arial"/>
          <w:lang w:eastAsia="zh-CN"/>
        </w:rPr>
        <w:t xml:space="preserve">With the above analysis, meeting ACLR for the extended case should not be an issue </w:t>
      </w:r>
      <w:r w:rsidR="00323A56">
        <w:rPr>
          <w:rFonts w:eastAsia="Arial"/>
          <w:lang w:eastAsia="zh-CN"/>
        </w:rPr>
        <w:t xml:space="preserve">as the majority of the outer IMD3 fall within the extended region </w:t>
      </w:r>
      <w:proofErr w:type="gramStart"/>
      <w:r w:rsidR="00323A56">
        <w:rPr>
          <w:rFonts w:eastAsia="Arial"/>
          <w:lang w:eastAsia="zh-CN"/>
        </w:rPr>
        <w:t>similar to</w:t>
      </w:r>
      <w:proofErr w:type="gramEnd"/>
      <w:r w:rsidR="00323A56">
        <w:rPr>
          <w:rFonts w:eastAsia="Arial"/>
          <w:lang w:eastAsia="zh-CN"/>
        </w:rPr>
        <w:t xml:space="preserve"> the majority </w:t>
      </w:r>
      <w:r w:rsidR="00574379">
        <w:rPr>
          <w:rFonts w:eastAsia="Arial"/>
          <w:lang w:eastAsia="zh-CN"/>
        </w:rPr>
        <w:t xml:space="preserve">of </w:t>
      </w:r>
      <w:r w:rsidR="00323A56">
        <w:rPr>
          <w:rFonts w:eastAsia="Arial"/>
          <w:lang w:eastAsia="zh-CN"/>
        </w:rPr>
        <w:t>the inner IMD3 falling in band. However, the 1RB0 IMD5 case is significantly more stringent than the initial case and does not benefit from the lower PSD of</w:t>
      </w:r>
      <w:r w:rsidR="00574379">
        <w:rPr>
          <w:rFonts w:eastAsia="Arial"/>
          <w:lang w:eastAsia="zh-CN"/>
        </w:rPr>
        <w:t xml:space="preserve"> </w:t>
      </w:r>
      <w:r w:rsidR="00323A56">
        <w:rPr>
          <w:rFonts w:eastAsia="Arial"/>
          <w:lang w:eastAsia="zh-CN"/>
        </w:rPr>
        <w:t>larger bandwidth allocations.</w:t>
      </w:r>
      <w:r w:rsidR="00884492">
        <w:rPr>
          <w:rFonts w:eastAsia="Arial"/>
          <w:lang w:eastAsia="zh-CN"/>
        </w:rPr>
        <w:t xml:space="preserve"> </w:t>
      </w:r>
    </w:p>
    <w:p w14:paraId="4D9AB8A8" w14:textId="22A184E4" w:rsidR="00323A56" w:rsidRDefault="00884492" w:rsidP="00281B38">
      <w:pPr>
        <w:rPr>
          <w:rFonts w:eastAsia="Arial"/>
          <w:lang w:eastAsia="zh-CN"/>
        </w:rPr>
      </w:pPr>
      <w:r>
        <w:rPr>
          <w:rFonts w:eastAsia="Arial"/>
          <w:lang w:eastAsia="zh-CN"/>
        </w:rPr>
        <w:t xml:space="preserve">It should be noted that for PC2 and PC1.5, the SEM and SE requirement becomes 3dB and 6dB tighter relative to </w:t>
      </w:r>
      <w:proofErr w:type="spellStart"/>
      <w:r>
        <w:rPr>
          <w:rFonts w:eastAsia="Arial"/>
          <w:lang w:eastAsia="zh-CN"/>
        </w:rPr>
        <w:t>PCmax</w:t>
      </w:r>
      <w:proofErr w:type="spellEnd"/>
      <w:r>
        <w:rPr>
          <w:rFonts w:eastAsia="Arial"/>
          <w:lang w:eastAsia="zh-CN"/>
        </w:rPr>
        <w:t xml:space="preserve">, thus the PC2 and PC1.5 cases </w:t>
      </w:r>
      <w:r w:rsidR="007D1027">
        <w:rPr>
          <w:rFonts w:eastAsia="Arial"/>
          <w:lang w:eastAsia="zh-CN"/>
        </w:rPr>
        <w:t>require further verification given that the delta MPR is the same between inner and outer for QPSK for PC3</w:t>
      </w:r>
      <w:r w:rsidR="00574379">
        <w:rPr>
          <w:rFonts w:eastAsia="Arial"/>
          <w:lang w:eastAsia="zh-CN"/>
        </w:rPr>
        <w:t>,</w:t>
      </w:r>
      <w:r w:rsidR="007D1027">
        <w:rPr>
          <w:rFonts w:eastAsia="Arial"/>
          <w:lang w:eastAsia="zh-CN"/>
        </w:rPr>
        <w:t xml:space="preserve"> PC2</w:t>
      </w:r>
      <w:r w:rsidR="00574379">
        <w:rPr>
          <w:rFonts w:eastAsia="Arial"/>
          <w:lang w:eastAsia="zh-CN"/>
        </w:rPr>
        <w:t xml:space="preserve"> and PC1.5</w:t>
      </w:r>
      <w:r w:rsidR="007D1027">
        <w:rPr>
          <w:rFonts w:eastAsia="Arial"/>
          <w:lang w:eastAsia="zh-CN"/>
        </w:rPr>
        <w:t>.</w:t>
      </w:r>
      <w:r w:rsidR="00574379">
        <w:rPr>
          <w:rFonts w:eastAsia="Arial"/>
          <w:lang w:eastAsia="zh-CN"/>
        </w:rPr>
        <w:t xml:space="preserve"> Furthermore, edge allocations should also be handled but this is </w:t>
      </w:r>
      <w:proofErr w:type="gramStart"/>
      <w:r w:rsidR="00574379">
        <w:rPr>
          <w:rFonts w:eastAsia="Arial"/>
          <w:lang w:eastAsia="zh-CN"/>
        </w:rPr>
        <w:t>fairly simple</w:t>
      </w:r>
      <w:proofErr w:type="gramEnd"/>
      <w:r w:rsidR="00574379">
        <w:rPr>
          <w:rFonts w:eastAsia="Arial"/>
          <w:lang w:eastAsia="zh-CN"/>
        </w:rPr>
        <w:t xml:space="preserve"> since a simple RB extension of 2RB for PC2 and 4RB for PC1.5 would turn edge allocations into outer.</w:t>
      </w:r>
    </w:p>
    <w:p w14:paraId="3D8EC1CF" w14:textId="77777777" w:rsidR="005C23F0" w:rsidRDefault="00323A56" w:rsidP="005C23F0">
      <w:pPr>
        <w:spacing w:after="0"/>
        <w:rPr>
          <w:rFonts w:eastAsia="Arial"/>
          <w:b/>
          <w:bCs/>
          <w:lang w:eastAsia="zh-CN"/>
        </w:rPr>
      </w:pPr>
      <w:r w:rsidRPr="00323A56">
        <w:rPr>
          <w:rFonts w:eastAsia="Arial"/>
          <w:b/>
          <w:bCs/>
          <w:lang w:eastAsia="zh-CN"/>
        </w:rPr>
        <w:t xml:space="preserve">Proposal 1: </w:t>
      </w:r>
    </w:p>
    <w:p w14:paraId="26CC3BEB" w14:textId="0F5E7D73" w:rsidR="00C96E0E" w:rsidRDefault="00C96E0E" w:rsidP="00C96E0E">
      <w:pPr>
        <w:pStyle w:val="ListParagraph"/>
        <w:numPr>
          <w:ilvl w:val="0"/>
          <w:numId w:val="43"/>
        </w:numPr>
        <w:spacing w:after="0"/>
        <w:ind w:firstLineChars="0"/>
        <w:rPr>
          <w:rFonts w:eastAsia="Arial"/>
          <w:b/>
          <w:bCs/>
          <w:lang w:eastAsia="zh-CN"/>
        </w:rPr>
      </w:pPr>
      <w:r w:rsidRPr="005C23F0">
        <w:rPr>
          <w:rFonts w:eastAsia="Arial"/>
          <w:b/>
          <w:bCs/>
          <w:lang w:eastAsia="zh-CN"/>
        </w:rPr>
        <w:t>To</w:t>
      </w:r>
      <w:r w:rsidR="00323A56" w:rsidRPr="005C23F0">
        <w:rPr>
          <w:rFonts w:eastAsia="Arial"/>
          <w:b/>
          <w:bCs/>
          <w:lang w:eastAsia="zh-CN"/>
        </w:rPr>
        <w:t xml:space="preserve"> verify that all outer </w:t>
      </w:r>
      <w:r w:rsidR="00574379">
        <w:rPr>
          <w:rFonts w:eastAsia="Arial"/>
          <w:b/>
          <w:bCs/>
          <w:lang w:eastAsia="zh-CN"/>
        </w:rPr>
        <w:t xml:space="preserve">RBs </w:t>
      </w:r>
      <w:r w:rsidR="00323A56" w:rsidRPr="005C23F0">
        <w:rPr>
          <w:rFonts w:eastAsia="Arial"/>
          <w:b/>
          <w:bCs/>
          <w:lang w:eastAsia="zh-CN"/>
        </w:rPr>
        <w:t>can be turned into inner, the critical case to verify is the 15kHz SCS 1RB0 case with IMD3 &lt; -13dBm/MHz and IMD5 &lt;-25dBm/</w:t>
      </w:r>
      <w:proofErr w:type="spellStart"/>
      <w:r w:rsidR="00323A56" w:rsidRPr="005C23F0">
        <w:rPr>
          <w:rFonts w:eastAsia="Arial"/>
          <w:b/>
          <w:bCs/>
          <w:lang w:eastAsia="zh-CN"/>
        </w:rPr>
        <w:t>MHz.</w:t>
      </w:r>
      <w:proofErr w:type="spellEnd"/>
      <w:r w:rsidR="00185039" w:rsidRPr="005C23F0">
        <w:rPr>
          <w:rFonts w:eastAsia="Arial"/>
          <w:b/>
          <w:bCs/>
          <w:lang w:eastAsia="zh-CN"/>
        </w:rPr>
        <w:t xml:space="preserve"> </w:t>
      </w:r>
    </w:p>
    <w:p w14:paraId="302FADB4" w14:textId="7E8A5488" w:rsidR="00323A56" w:rsidRDefault="00C96E0E" w:rsidP="00C96E0E">
      <w:pPr>
        <w:pStyle w:val="ListParagraph"/>
        <w:numPr>
          <w:ilvl w:val="0"/>
          <w:numId w:val="43"/>
        </w:numPr>
        <w:spacing w:after="0"/>
        <w:ind w:firstLineChars="0"/>
        <w:rPr>
          <w:rFonts w:eastAsia="Arial"/>
          <w:b/>
          <w:bCs/>
          <w:lang w:eastAsia="zh-CN"/>
        </w:rPr>
      </w:pPr>
      <w:r>
        <w:rPr>
          <w:rFonts w:eastAsia="Arial"/>
          <w:b/>
          <w:bCs/>
          <w:lang w:eastAsia="zh-CN"/>
        </w:rPr>
        <w:t>The fully allocated case</w:t>
      </w:r>
      <w:r w:rsidR="00185039" w:rsidRPr="005C23F0">
        <w:rPr>
          <w:rFonts w:eastAsia="Arial"/>
          <w:b/>
          <w:bCs/>
          <w:lang w:eastAsia="zh-CN"/>
        </w:rPr>
        <w:t xml:space="preserve"> may not be the worst case and</w:t>
      </w:r>
      <w:r w:rsidR="00574379">
        <w:rPr>
          <w:rFonts w:eastAsia="Arial"/>
          <w:b/>
          <w:bCs/>
          <w:lang w:eastAsia="zh-CN"/>
        </w:rPr>
        <w:t>,</w:t>
      </w:r>
      <w:r w:rsidR="00185039" w:rsidRPr="005C23F0">
        <w:rPr>
          <w:rFonts w:eastAsia="Arial"/>
          <w:b/>
          <w:bCs/>
          <w:lang w:eastAsia="zh-CN"/>
        </w:rPr>
        <w:t xml:space="preserve"> at cell edge, where MPR reduction is beneficial, full allocation is unlikely.</w:t>
      </w:r>
    </w:p>
    <w:p w14:paraId="4807FD8B" w14:textId="610F157C" w:rsidR="00574379" w:rsidRDefault="00574379" w:rsidP="00C96E0E">
      <w:pPr>
        <w:pStyle w:val="ListParagraph"/>
        <w:numPr>
          <w:ilvl w:val="0"/>
          <w:numId w:val="43"/>
        </w:numPr>
        <w:spacing w:after="0"/>
        <w:ind w:firstLineChars="0"/>
        <w:rPr>
          <w:rFonts w:eastAsia="Arial"/>
          <w:b/>
          <w:bCs/>
          <w:lang w:eastAsia="zh-CN"/>
        </w:rPr>
      </w:pPr>
      <w:r>
        <w:rPr>
          <w:rFonts w:eastAsia="Arial"/>
          <w:b/>
          <w:bCs/>
          <w:lang w:eastAsia="zh-CN"/>
        </w:rPr>
        <w:lastRenderedPageBreak/>
        <w:t>PC2 and PC1.5 have more stringent SEM requirements (3dB and 6dB respectively) thus 1RB0 cases should be further verified for HPUE.</w:t>
      </w:r>
    </w:p>
    <w:p w14:paraId="042B671E" w14:textId="77777777" w:rsidR="0003730B" w:rsidRDefault="0003730B" w:rsidP="0003730B">
      <w:pPr>
        <w:spacing w:after="0"/>
        <w:rPr>
          <w:rFonts w:eastAsia="Arial"/>
          <w:lang w:eastAsia="zh-CN"/>
        </w:rPr>
      </w:pPr>
    </w:p>
    <w:p w14:paraId="6D788F46" w14:textId="711D17EA" w:rsidR="00185039" w:rsidRDefault="00185039" w:rsidP="00281B38">
      <w:pPr>
        <w:rPr>
          <w:rFonts w:eastAsia="Arial"/>
          <w:lang w:eastAsia="zh-CN"/>
        </w:rPr>
      </w:pPr>
      <w:r>
        <w:rPr>
          <w:rFonts w:eastAsia="Arial"/>
          <w:lang w:eastAsia="zh-CN"/>
        </w:rPr>
        <w:t xml:space="preserve">Given that </w:t>
      </w:r>
      <w:r w:rsidR="00574379">
        <w:rPr>
          <w:rFonts w:eastAsia="Arial"/>
          <w:lang w:eastAsia="zh-CN"/>
        </w:rPr>
        <w:t xml:space="preserve">the </w:t>
      </w:r>
      <w:r>
        <w:rPr>
          <w:rFonts w:eastAsia="Arial"/>
          <w:lang w:eastAsia="zh-CN"/>
        </w:rPr>
        <w:t xml:space="preserve">extension based on CBW/2 or NRB/2 is similar, and </w:t>
      </w:r>
      <w:r w:rsidR="00574379">
        <w:rPr>
          <w:rFonts w:eastAsia="Arial"/>
          <w:lang w:eastAsia="zh-CN"/>
        </w:rPr>
        <w:t xml:space="preserve">the </w:t>
      </w:r>
      <w:proofErr w:type="gramStart"/>
      <w:r>
        <w:rPr>
          <w:rFonts w:eastAsia="Arial"/>
          <w:lang w:eastAsia="zh-CN"/>
        </w:rPr>
        <w:t>ceil(</w:t>
      </w:r>
      <w:proofErr w:type="gramEnd"/>
      <w:r>
        <w:rPr>
          <w:rFonts w:eastAsia="Arial"/>
          <w:lang w:eastAsia="zh-CN"/>
        </w:rPr>
        <w:t>NRB/2) extension on both sides allows to turn</w:t>
      </w:r>
      <w:r w:rsidR="00574379">
        <w:rPr>
          <w:rFonts w:eastAsia="Arial"/>
          <w:lang w:eastAsia="zh-CN"/>
        </w:rPr>
        <w:t>ing</w:t>
      </w:r>
      <w:r>
        <w:rPr>
          <w:rFonts w:eastAsia="Arial"/>
          <w:lang w:eastAsia="zh-CN"/>
        </w:rPr>
        <w:t xml:space="preserve"> any outer allocation into inner, </w:t>
      </w:r>
      <w:r w:rsidR="00574379">
        <w:rPr>
          <w:rFonts w:eastAsia="Arial"/>
          <w:lang w:eastAsia="zh-CN"/>
        </w:rPr>
        <w:t>w</w:t>
      </w:r>
      <w:r>
        <w:rPr>
          <w:rFonts w:eastAsia="Arial"/>
          <w:lang w:eastAsia="zh-CN"/>
        </w:rPr>
        <w:t>e suggest the BW extension is based on NRB</w:t>
      </w:r>
      <w:r w:rsidR="00574379">
        <w:rPr>
          <w:rFonts w:eastAsia="Arial"/>
          <w:lang w:eastAsia="zh-CN"/>
        </w:rPr>
        <w:t>.</w:t>
      </w:r>
      <w:r>
        <w:rPr>
          <w:rFonts w:eastAsia="Arial"/>
          <w:lang w:eastAsia="zh-CN"/>
        </w:rPr>
        <w:t xml:space="preserve"> </w:t>
      </w:r>
      <w:r w:rsidR="00574379">
        <w:rPr>
          <w:rFonts w:eastAsia="Arial"/>
          <w:lang w:eastAsia="zh-CN"/>
        </w:rPr>
        <w:t>T</w:t>
      </w:r>
      <w:r>
        <w:rPr>
          <w:rFonts w:eastAsia="Arial"/>
          <w:lang w:eastAsia="zh-CN"/>
        </w:rPr>
        <w:t>hus</w:t>
      </w:r>
      <w:r w:rsidR="00574379">
        <w:rPr>
          <w:rFonts w:eastAsia="Arial"/>
          <w:lang w:eastAsia="zh-CN"/>
        </w:rPr>
        <w:t>,</w:t>
      </w:r>
      <w:r>
        <w:rPr>
          <w:rFonts w:eastAsia="Arial"/>
          <w:lang w:eastAsia="zh-CN"/>
        </w:rPr>
        <w:t xml:space="preserve"> the main parameter to define the OOBE region based on NRB is which guard band should apply. </w:t>
      </w:r>
    </w:p>
    <w:p w14:paraId="59C28F74" w14:textId="71FEA7B4" w:rsidR="00185039" w:rsidRDefault="00185039" w:rsidP="00915FA6">
      <w:pPr>
        <w:spacing w:after="0"/>
        <w:rPr>
          <w:rFonts w:eastAsia="Arial"/>
          <w:lang w:eastAsia="zh-CN"/>
        </w:rPr>
      </w:pPr>
      <w:r>
        <w:rPr>
          <w:rFonts w:eastAsia="Arial"/>
          <w:lang w:eastAsia="zh-CN"/>
        </w:rPr>
        <w:t>In Table 1, we present the analysis of all the FR1 channel bandwidths for 15kHz and 30kHz SCS</w:t>
      </w:r>
      <w:r w:rsidR="00915FA6">
        <w:rPr>
          <w:rFonts w:eastAsia="Arial"/>
          <w:lang w:eastAsia="zh-CN"/>
        </w:rPr>
        <w:t>.</w:t>
      </w:r>
    </w:p>
    <w:p w14:paraId="6D9A4012" w14:textId="77777777" w:rsidR="00915FA6" w:rsidRDefault="00915FA6" w:rsidP="00915FA6">
      <w:pPr>
        <w:spacing w:after="0"/>
        <w:rPr>
          <w:rFonts w:eastAsia="Arial"/>
          <w:lang w:eastAsia="zh-CN"/>
        </w:rPr>
      </w:pPr>
    </w:p>
    <w:p w14:paraId="3F4202A8" w14:textId="2916DFF3" w:rsidR="00915FA6" w:rsidRPr="00633DED" w:rsidRDefault="00915FA6" w:rsidP="00633DED">
      <w:pPr>
        <w:pStyle w:val="ListParagraph"/>
        <w:numPr>
          <w:ilvl w:val="0"/>
          <w:numId w:val="38"/>
        </w:numPr>
        <w:spacing w:after="0"/>
        <w:ind w:firstLineChars="0"/>
        <w:rPr>
          <w:rFonts w:eastAsia="Arial"/>
          <w:lang w:eastAsia="zh-CN"/>
        </w:rPr>
      </w:pPr>
      <w:r w:rsidRPr="00633DED">
        <w:rPr>
          <w:rFonts w:eastAsia="Arial"/>
          <w:lang w:eastAsia="zh-CN"/>
        </w:rPr>
        <w:t>Under the SCS and CBW headers:</w:t>
      </w:r>
    </w:p>
    <w:p w14:paraId="16279770" w14:textId="30106BE6" w:rsidR="00915FA6" w:rsidRDefault="00915FA6" w:rsidP="00915FA6">
      <w:pPr>
        <w:pStyle w:val="ListParagraph"/>
        <w:numPr>
          <w:ilvl w:val="0"/>
          <w:numId w:val="37"/>
        </w:numPr>
        <w:spacing w:after="0"/>
        <w:ind w:firstLineChars="0"/>
        <w:rPr>
          <w:rFonts w:eastAsia="Arial"/>
          <w:lang w:eastAsia="zh-CN"/>
        </w:rPr>
      </w:pPr>
      <w:r w:rsidRPr="00915FA6">
        <w:rPr>
          <w:rFonts w:eastAsia="Arial"/>
          <w:lang w:eastAsia="zh-CN"/>
        </w:rPr>
        <w:t xml:space="preserve">The first two columns list all the </w:t>
      </w:r>
      <w:r>
        <w:rPr>
          <w:rFonts w:eastAsia="Arial"/>
          <w:lang w:eastAsia="zh-CN"/>
        </w:rPr>
        <w:t>c</w:t>
      </w:r>
      <w:r w:rsidRPr="00915FA6">
        <w:rPr>
          <w:rFonts w:eastAsia="Arial"/>
          <w:lang w:eastAsia="zh-CN"/>
        </w:rPr>
        <w:t xml:space="preserve">hannel </w:t>
      </w:r>
      <w:r>
        <w:rPr>
          <w:rFonts w:eastAsia="Arial"/>
          <w:lang w:eastAsia="zh-CN"/>
        </w:rPr>
        <w:t>BW</w:t>
      </w:r>
      <w:r w:rsidRPr="00915FA6">
        <w:rPr>
          <w:rFonts w:eastAsia="Arial"/>
          <w:lang w:eastAsia="zh-CN"/>
        </w:rPr>
        <w:t xml:space="preserve"> </w:t>
      </w:r>
      <w:r>
        <w:rPr>
          <w:rFonts w:eastAsia="Arial"/>
          <w:lang w:eastAsia="zh-CN"/>
        </w:rPr>
        <w:t xml:space="preserve">for 15kHz and 30kHz </w:t>
      </w:r>
      <w:proofErr w:type="gramStart"/>
      <w:r>
        <w:rPr>
          <w:rFonts w:eastAsia="Arial"/>
          <w:lang w:eastAsia="zh-CN"/>
        </w:rPr>
        <w:t>SCS</w:t>
      </w:r>
      <w:proofErr w:type="gramEnd"/>
    </w:p>
    <w:p w14:paraId="3C3AA74F" w14:textId="3BBB0539" w:rsidR="00915FA6" w:rsidRDefault="00915FA6" w:rsidP="00915FA6">
      <w:pPr>
        <w:pStyle w:val="ListParagraph"/>
        <w:numPr>
          <w:ilvl w:val="0"/>
          <w:numId w:val="37"/>
        </w:numPr>
        <w:spacing w:after="0"/>
        <w:ind w:firstLineChars="0"/>
        <w:rPr>
          <w:rFonts w:eastAsia="Arial"/>
          <w:lang w:eastAsia="zh-CN"/>
        </w:rPr>
      </w:pPr>
      <w:r>
        <w:rPr>
          <w:rFonts w:eastAsia="Arial"/>
          <w:lang w:eastAsia="zh-CN"/>
        </w:rPr>
        <w:t>The next two columns are 2x and 1.5x the channel BW which correspond to the symmetrical and asymmetrical CBW/2 extension cases.</w:t>
      </w:r>
    </w:p>
    <w:p w14:paraId="2C4B7654" w14:textId="72819183" w:rsidR="00915FA6" w:rsidRDefault="00915FA6" w:rsidP="00633DED">
      <w:pPr>
        <w:pStyle w:val="ListParagraph"/>
        <w:numPr>
          <w:ilvl w:val="0"/>
          <w:numId w:val="37"/>
        </w:numPr>
        <w:spacing w:after="0"/>
        <w:ind w:firstLineChars="0"/>
        <w:rPr>
          <w:rFonts w:eastAsia="Arial"/>
          <w:lang w:eastAsia="zh-CN"/>
        </w:rPr>
      </w:pPr>
      <w:r>
        <w:rPr>
          <w:rFonts w:eastAsia="Arial"/>
          <w:lang w:eastAsia="zh-CN"/>
        </w:rPr>
        <w:t xml:space="preserve">The colour coding maps the extended BW to the closest </w:t>
      </w:r>
      <w:r w:rsidR="00633DED">
        <w:rPr>
          <w:rFonts w:eastAsia="Arial"/>
          <w:lang w:eastAsia="zh-CN"/>
        </w:rPr>
        <w:t xml:space="preserve">higher </w:t>
      </w:r>
      <w:r>
        <w:rPr>
          <w:rFonts w:eastAsia="Arial"/>
          <w:lang w:eastAsia="zh-CN"/>
        </w:rPr>
        <w:t>existing CBW. Above 50MHz</w:t>
      </w:r>
      <w:r w:rsidR="00574379">
        <w:rPr>
          <w:rFonts w:eastAsia="Arial"/>
          <w:lang w:eastAsia="zh-CN"/>
        </w:rPr>
        <w:t>,</w:t>
      </w:r>
      <w:r>
        <w:rPr>
          <w:rFonts w:eastAsia="Arial"/>
          <w:lang w:eastAsia="zh-CN"/>
        </w:rPr>
        <w:t xml:space="preserve"> the 15kHz SCS extended BW are mapped to 30kHz CBW</w:t>
      </w:r>
      <w:r w:rsidR="00574379">
        <w:rPr>
          <w:rFonts w:eastAsia="Arial"/>
          <w:lang w:eastAsia="zh-CN"/>
        </w:rPr>
        <w:t>,</w:t>
      </w:r>
      <w:r>
        <w:rPr>
          <w:rFonts w:eastAsia="Arial"/>
          <w:lang w:eastAsia="zh-CN"/>
        </w:rPr>
        <w:t xml:space="preserve"> while above 100MHz</w:t>
      </w:r>
      <w:r w:rsidR="00574379">
        <w:rPr>
          <w:rFonts w:eastAsia="Arial"/>
          <w:lang w:eastAsia="zh-CN"/>
        </w:rPr>
        <w:t>,</w:t>
      </w:r>
      <w:r>
        <w:rPr>
          <w:rFonts w:eastAsia="Arial"/>
          <w:lang w:eastAsia="zh-CN"/>
        </w:rPr>
        <w:t xml:space="preserve"> the 30kHz SCS extended BW cannot be </w:t>
      </w:r>
      <w:r w:rsidR="00574379">
        <w:rPr>
          <w:rFonts w:eastAsia="Arial"/>
          <w:lang w:eastAsia="zh-CN"/>
        </w:rPr>
        <w:t xml:space="preserve">further </w:t>
      </w:r>
      <w:r>
        <w:rPr>
          <w:rFonts w:eastAsia="Arial"/>
          <w:lang w:eastAsia="zh-CN"/>
        </w:rPr>
        <w:t>mapped but could be mapped to a contiguous CA BW using the nominal channel spacing.</w:t>
      </w:r>
    </w:p>
    <w:p w14:paraId="711320F6" w14:textId="7BD7A9BF" w:rsidR="00915FA6" w:rsidRPr="00633DED" w:rsidRDefault="00915FA6" w:rsidP="00633DED">
      <w:pPr>
        <w:pStyle w:val="ListParagraph"/>
        <w:numPr>
          <w:ilvl w:val="0"/>
          <w:numId w:val="37"/>
        </w:numPr>
        <w:spacing w:after="0"/>
        <w:ind w:left="360" w:firstLineChars="0"/>
        <w:rPr>
          <w:rFonts w:eastAsia="Arial"/>
          <w:lang w:eastAsia="zh-CN"/>
        </w:rPr>
      </w:pPr>
      <w:r w:rsidRPr="00633DED">
        <w:rPr>
          <w:rFonts w:eastAsia="Arial"/>
          <w:lang w:eastAsia="zh-CN"/>
        </w:rPr>
        <w:t>Under the GB header:</w:t>
      </w:r>
    </w:p>
    <w:p w14:paraId="05E479E7" w14:textId="65EFA753" w:rsidR="00915FA6" w:rsidRDefault="00915FA6" w:rsidP="00915FA6">
      <w:pPr>
        <w:pStyle w:val="ListParagraph"/>
        <w:numPr>
          <w:ilvl w:val="0"/>
          <w:numId w:val="37"/>
        </w:numPr>
        <w:spacing w:after="0"/>
        <w:ind w:firstLineChars="0"/>
        <w:rPr>
          <w:rFonts w:eastAsia="Arial"/>
          <w:lang w:eastAsia="zh-CN"/>
        </w:rPr>
      </w:pPr>
      <w:r w:rsidRPr="00915FA6">
        <w:rPr>
          <w:rFonts w:eastAsia="Arial"/>
          <w:lang w:eastAsia="zh-CN"/>
        </w:rPr>
        <w:t>The first column list</w:t>
      </w:r>
      <w:r w:rsidR="00574379">
        <w:rPr>
          <w:rFonts w:eastAsia="Arial"/>
          <w:lang w:eastAsia="zh-CN"/>
        </w:rPr>
        <w:t>s</w:t>
      </w:r>
      <w:r w:rsidRPr="00915FA6">
        <w:rPr>
          <w:rFonts w:eastAsia="Arial"/>
          <w:lang w:eastAsia="zh-CN"/>
        </w:rPr>
        <w:t xml:space="preserve"> all the </w:t>
      </w:r>
      <w:r>
        <w:rPr>
          <w:rFonts w:eastAsia="Arial"/>
          <w:lang w:eastAsia="zh-CN"/>
        </w:rPr>
        <w:t>c</w:t>
      </w:r>
      <w:r w:rsidRPr="00915FA6">
        <w:rPr>
          <w:rFonts w:eastAsia="Arial"/>
          <w:lang w:eastAsia="zh-CN"/>
        </w:rPr>
        <w:t xml:space="preserve">hannel </w:t>
      </w:r>
      <w:r>
        <w:rPr>
          <w:rFonts w:eastAsia="Arial"/>
          <w:lang w:eastAsia="zh-CN"/>
        </w:rPr>
        <w:t>minimum guard</w:t>
      </w:r>
      <w:r w:rsidR="00574379">
        <w:rPr>
          <w:rFonts w:eastAsia="Arial"/>
          <w:lang w:eastAsia="zh-CN"/>
        </w:rPr>
        <w:t xml:space="preserve"> </w:t>
      </w:r>
      <w:r>
        <w:rPr>
          <w:rFonts w:eastAsia="Arial"/>
          <w:lang w:eastAsia="zh-CN"/>
        </w:rPr>
        <w:t>band</w:t>
      </w:r>
      <w:r w:rsidR="00574379">
        <w:rPr>
          <w:rFonts w:eastAsia="Arial"/>
          <w:lang w:eastAsia="zh-CN"/>
        </w:rPr>
        <w:t>s</w:t>
      </w:r>
      <w:r w:rsidRPr="00915FA6">
        <w:rPr>
          <w:rFonts w:eastAsia="Arial"/>
          <w:lang w:eastAsia="zh-CN"/>
        </w:rPr>
        <w:t xml:space="preserve"> </w:t>
      </w:r>
      <w:r>
        <w:rPr>
          <w:rFonts w:eastAsia="Arial"/>
          <w:lang w:eastAsia="zh-CN"/>
        </w:rPr>
        <w:t xml:space="preserve">for 15kHz and 30kHz </w:t>
      </w:r>
      <w:proofErr w:type="gramStart"/>
      <w:r>
        <w:rPr>
          <w:rFonts w:eastAsia="Arial"/>
          <w:lang w:eastAsia="zh-CN"/>
        </w:rPr>
        <w:t>SCS</w:t>
      </w:r>
      <w:proofErr w:type="gramEnd"/>
    </w:p>
    <w:p w14:paraId="29254233" w14:textId="7BE19EF5" w:rsidR="00915FA6" w:rsidRDefault="00915FA6" w:rsidP="00915FA6">
      <w:pPr>
        <w:pStyle w:val="ListParagraph"/>
        <w:numPr>
          <w:ilvl w:val="0"/>
          <w:numId w:val="37"/>
        </w:numPr>
        <w:spacing w:after="0"/>
        <w:ind w:firstLineChars="0"/>
        <w:rPr>
          <w:rFonts w:eastAsia="Arial"/>
          <w:lang w:eastAsia="zh-CN"/>
        </w:rPr>
      </w:pPr>
      <w:r>
        <w:rPr>
          <w:rFonts w:eastAsia="Arial"/>
          <w:lang w:eastAsia="zh-CN"/>
        </w:rPr>
        <w:t xml:space="preserve">The second column </w:t>
      </w:r>
      <w:r w:rsidR="008A2550">
        <w:rPr>
          <w:rFonts w:eastAsia="Arial"/>
          <w:lang w:eastAsia="zh-CN"/>
        </w:rPr>
        <w:t>list</w:t>
      </w:r>
      <w:r w:rsidR="00574379">
        <w:rPr>
          <w:rFonts w:eastAsia="Arial"/>
          <w:lang w:eastAsia="zh-CN"/>
        </w:rPr>
        <w:t>s</w:t>
      </w:r>
      <w:r w:rsidR="008A2550">
        <w:rPr>
          <w:rFonts w:eastAsia="Arial"/>
          <w:lang w:eastAsia="zh-CN"/>
        </w:rPr>
        <w:t xml:space="preserve"> the maximum of two consecutive CBW minimum guard-bands. In general, the minimum guard band increases with increasing CBW, but there are exceptions (</w:t>
      </w:r>
      <w:r w:rsidR="00574379">
        <w:rPr>
          <w:rFonts w:eastAsia="Arial"/>
          <w:lang w:eastAsia="zh-CN"/>
        </w:rPr>
        <w:t>e.g.,</w:t>
      </w:r>
      <w:r w:rsidR="008A2550">
        <w:rPr>
          <w:rFonts w:eastAsia="Arial"/>
          <w:lang w:eastAsia="zh-CN"/>
        </w:rPr>
        <w:t xml:space="preserve"> 35MHz and 40MHz have lower guard</w:t>
      </w:r>
      <w:r w:rsidR="00574379">
        <w:rPr>
          <w:rFonts w:eastAsia="Arial"/>
          <w:lang w:eastAsia="zh-CN"/>
        </w:rPr>
        <w:t xml:space="preserve"> </w:t>
      </w:r>
      <w:r w:rsidR="008A2550">
        <w:rPr>
          <w:rFonts w:eastAsia="Arial"/>
          <w:lang w:eastAsia="zh-CN"/>
        </w:rPr>
        <w:t>band</w:t>
      </w:r>
      <w:r w:rsidR="00574379">
        <w:rPr>
          <w:rFonts w:eastAsia="Arial"/>
          <w:lang w:eastAsia="zh-CN"/>
        </w:rPr>
        <w:t>s</w:t>
      </w:r>
      <w:r w:rsidR="008A2550">
        <w:rPr>
          <w:rFonts w:eastAsia="Arial"/>
          <w:lang w:eastAsia="zh-CN"/>
        </w:rPr>
        <w:t xml:space="preserve"> than 30MHz)</w:t>
      </w:r>
    </w:p>
    <w:p w14:paraId="6395AC82" w14:textId="65EC4B0D" w:rsidR="008A2550" w:rsidRDefault="008A2550" w:rsidP="00633DED">
      <w:pPr>
        <w:pStyle w:val="ListParagraph"/>
        <w:numPr>
          <w:ilvl w:val="0"/>
          <w:numId w:val="37"/>
        </w:numPr>
        <w:spacing w:after="0"/>
        <w:ind w:left="360" w:firstLineChars="0"/>
        <w:rPr>
          <w:rFonts w:eastAsia="Arial"/>
          <w:lang w:eastAsia="zh-CN"/>
        </w:rPr>
      </w:pPr>
      <w:r>
        <w:rPr>
          <w:rFonts w:eastAsia="Arial"/>
          <w:lang w:eastAsia="zh-CN"/>
        </w:rPr>
        <w:t>Under the NRB header:</w:t>
      </w:r>
    </w:p>
    <w:p w14:paraId="0E7AA63A" w14:textId="49C8BE48" w:rsidR="008A2550" w:rsidRDefault="008A2550" w:rsidP="008A2550">
      <w:pPr>
        <w:pStyle w:val="ListParagraph"/>
        <w:numPr>
          <w:ilvl w:val="0"/>
          <w:numId w:val="37"/>
        </w:numPr>
        <w:spacing w:after="0"/>
        <w:ind w:firstLineChars="0"/>
        <w:rPr>
          <w:rFonts w:eastAsia="Arial"/>
          <w:lang w:eastAsia="zh-CN"/>
        </w:rPr>
      </w:pPr>
      <w:r w:rsidRPr="00915FA6">
        <w:rPr>
          <w:rFonts w:eastAsia="Arial"/>
          <w:lang w:eastAsia="zh-CN"/>
        </w:rPr>
        <w:t>The first column</w:t>
      </w:r>
      <w:r>
        <w:rPr>
          <w:rFonts w:eastAsia="Arial"/>
          <w:lang w:eastAsia="zh-CN"/>
        </w:rPr>
        <w:t xml:space="preserve"> lists the NRB per CBW and SCS</w:t>
      </w:r>
    </w:p>
    <w:p w14:paraId="0EF0DFDC" w14:textId="6243BA09" w:rsidR="008A2550" w:rsidRDefault="008A2550" w:rsidP="008A2550">
      <w:pPr>
        <w:pStyle w:val="ListParagraph"/>
        <w:numPr>
          <w:ilvl w:val="0"/>
          <w:numId w:val="37"/>
        </w:numPr>
        <w:spacing w:after="0"/>
        <w:ind w:firstLineChars="0"/>
        <w:rPr>
          <w:rFonts w:eastAsia="Arial"/>
          <w:lang w:eastAsia="zh-CN"/>
        </w:rPr>
      </w:pPr>
      <w:r>
        <w:rPr>
          <w:rFonts w:eastAsia="Arial"/>
          <w:lang w:eastAsia="zh-CN"/>
        </w:rPr>
        <w:t xml:space="preserve">The second column is </w:t>
      </w:r>
      <w:proofErr w:type="gramStart"/>
      <w:r>
        <w:rPr>
          <w:rFonts w:eastAsia="Arial"/>
          <w:lang w:eastAsia="zh-CN"/>
        </w:rPr>
        <w:t>ceil(</w:t>
      </w:r>
      <w:proofErr w:type="gramEnd"/>
      <w:r>
        <w:rPr>
          <w:rFonts w:eastAsia="Arial"/>
          <w:lang w:eastAsia="zh-CN"/>
        </w:rPr>
        <w:t>NRB/2)</w:t>
      </w:r>
    </w:p>
    <w:p w14:paraId="5B44CA5A" w14:textId="199C24B4" w:rsidR="008A2550" w:rsidRDefault="008A2550" w:rsidP="008A2550">
      <w:pPr>
        <w:pStyle w:val="ListParagraph"/>
        <w:numPr>
          <w:ilvl w:val="0"/>
          <w:numId w:val="37"/>
        </w:numPr>
        <w:spacing w:after="0"/>
        <w:ind w:firstLineChars="0"/>
        <w:rPr>
          <w:rFonts w:eastAsia="Arial"/>
          <w:lang w:eastAsia="zh-CN"/>
        </w:rPr>
      </w:pPr>
      <w:r>
        <w:rPr>
          <w:rFonts w:eastAsia="Arial"/>
          <w:lang w:eastAsia="zh-CN"/>
        </w:rPr>
        <w:t>The third column correspond</w:t>
      </w:r>
      <w:r w:rsidR="00574379">
        <w:rPr>
          <w:rFonts w:eastAsia="Arial"/>
          <w:lang w:eastAsia="zh-CN"/>
        </w:rPr>
        <w:t>s</w:t>
      </w:r>
      <w:r>
        <w:rPr>
          <w:rFonts w:eastAsia="Arial"/>
          <w:lang w:eastAsia="zh-CN"/>
        </w:rPr>
        <w:t xml:space="preserve"> to a symmetrical NRB/2 extension = NRB+2*</w:t>
      </w:r>
      <w:proofErr w:type="gramStart"/>
      <w:r>
        <w:rPr>
          <w:rFonts w:eastAsia="Arial"/>
          <w:lang w:eastAsia="zh-CN"/>
        </w:rPr>
        <w:t>ceil(</w:t>
      </w:r>
      <w:proofErr w:type="gramEnd"/>
      <w:r>
        <w:rPr>
          <w:rFonts w:eastAsia="Arial"/>
          <w:lang w:eastAsia="zh-CN"/>
        </w:rPr>
        <w:t>NRB/2)</w:t>
      </w:r>
    </w:p>
    <w:p w14:paraId="63D41C05" w14:textId="1638BF12" w:rsidR="008A2550" w:rsidRDefault="008A2550" w:rsidP="008A2550">
      <w:pPr>
        <w:pStyle w:val="ListParagraph"/>
        <w:numPr>
          <w:ilvl w:val="0"/>
          <w:numId w:val="37"/>
        </w:numPr>
        <w:spacing w:after="0"/>
        <w:ind w:firstLineChars="0"/>
        <w:rPr>
          <w:rFonts w:eastAsia="Arial"/>
          <w:lang w:eastAsia="zh-CN"/>
        </w:rPr>
      </w:pPr>
      <w:r>
        <w:rPr>
          <w:rFonts w:eastAsia="Arial"/>
          <w:lang w:eastAsia="zh-CN"/>
        </w:rPr>
        <w:t>The fourth column correspond</w:t>
      </w:r>
      <w:r w:rsidR="00574379">
        <w:rPr>
          <w:rFonts w:eastAsia="Arial"/>
          <w:lang w:eastAsia="zh-CN"/>
        </w:rPr>
        <w:t>s</w:t>
      </w:r>
      <w:r>
        <w:rPr>
          <w:rFonts w:eastAsia="Arial"/>
          <w:lang w:eastAsia="zh-CN"/>
        </w:rPr>
        <w:t xml:space="preserve"> to a symmetrical NRB/2 extension = NRB+2*</w:t>
      </w:r>
      <w:proofErr w:type="gramStart"/>
      <w:r>
        <w:rPr>
          <w:rFonts w:eastAsia="Arial"/>
          <w:lang w:eastAsia="zh-CN"/>
        </w:rPr>
        <w:t>ceil(</w:t>
      </w:r>
      <w:proofErr w:type="gramEnd"/>
      <w:r>
        <w:rPr>
          <w:rFonts w:eastAsia="Arial"/>
          <w:lang w:eastAsia="zh-CN"/>
        </w:rPr>
        <w:t>NRB/2)</w:t>
      </w:r>
    </w:p>
    <w:p w14:paraId="795368B2" w14:textId="622B047E" w:rsidR="00633DED" w:rsidRDefault="00633DED" w:rsidP="00633DED">
      <w:pPr>
        <w:pStyle w:val="ListParagraph"/>
        <w:numPr>
          <w:ilvl w:val="0"/>
          <w:numId w:val="37"/>
        </w:numPr>
        <w:spacing w:after="0"/>
        <w:ind w:firstLineChars="0"/>
        <w:rPr>
          <w:rFonts w:eastAsia="Arial"/>
          <w:lang w:eastAsia="zh-CN"/>
        </w:rPr>
      </w:pPr>
      <w:r>
        <w:rPr>
          <w:rFonts w:eastAsia="Arial"/>
          <w:lang w:eastAsia="zh-CN"/>
        </w:rPr>
        <w:t>The colour coding compares the resulting number of RBs to the NRB of the closest higher existing CBW.</w:t>
      </w:r>
    </w:p>
    <w:p w14:paraId="1D8F0116" w14:textId="61FCC7E4" w:rsidR="00633DED" w:rsidRDefault="00633DED" w:rsidP="00633DED">
      <w:pPr>
        <w:pStyle w:val="ListParagraph"/>
        <w:numPr>
          <w:ilvl w:val="1"/>
          <w:numId w:val="37"/>
        </w:numPr>
        <w:spacing w:after="0"/>
        <w:ind w:firstLineChars="0"/>
        <w:rPr>
          <w:rFonts w:eastAsia="Arial"/>
          <w:lang w:eastAsia="zh-CN"/>
        </w:rPr>
      </w:pPr>
      <w:r>
        <w:rPr>
          <w:rFonts w:eastAsia="Arial"/>
          <w:lang w:eastAsia="zh-CN"/>
        </w:rPr>
        <w:t xml:space="preserve">Light green colour </w:t>
      </w:r>
      <w:r w:rsidR="00574379">
        <w:rPr>
          <w:rFonts w:eastAsia="Arial"/>
          <w:lang w:eastAsia="zh-CN"/>
        </w:rPr>
        <w:t>indicates</w:t>
      </w:r>
      <w:r>
        <w:rPr>
          <w:rFonts w:eastAsia="Arial"/>
          <w:lang w:eastAsia="zh-CN"/>
        </w:rPr>
        <w:t xml:space="preserve"> that the extended number of RBs is 1RB less than the NRB of the closest higher existing CBW.</w:t>
      </w:r>
    </w:p>
    <w:p w14:paraId="45143C20" w14:textId="2E0F62D9" w:rsidR="00ED5CC4" w:rsidRPr="00ED5CC4" w:rsidRDefault="00633DED" w:rsidP="00ED5CC4">
      <w:pPr>
        <w:pStyle w:val="ListParagraph"/>
        <w:numPr>
          <w:ilvl w:val="1"/>
          <w:numId w:val="37"/>
        </w:numPr>
        <w:spacing w:after="0"/>
        <w:ind w:firstLineChars="0"/>
        <w:rPr>
          <w:rFonts w:eastAsia="Arial"/>
          <w:lang w:eastAsia="zh-CN"/>
        </w:rPr>
      </w:pPr>
      <w:r>
        <w:rPr>
          <w:rFonts w:eastAsia="Arial"/>
          <w:lang w:eastAsia="zh-CN"/>
        </w:rPr>
        <w:t xml:space="preserve">Dark green colour </w:t>
      </w:r>
      <w:r w:rsidR="00574379">
        <w:rPr>
          <w:rFonts w:eastAsia="Arial"/>
          <w:lang w:eastAsia="zh-CN"/>
        </w:rPr>
        <w:t xml:space="preserve">indicates </w:t>
      </w:r>
      <w:r>
        <w:rPr>
          <w:rFonts w:eastAsia="Arial"/>
          <w:lang w:eastAsia="zh-CN"/>
        </w:rPr>
        <w:t>that the extended number of RBs is &gt;1RB less than the NRB of the closest higher existing CBW.</w:t>
      </w:r>
    </w:p>
    <w:p w14:paraId="21197D09" w14:textId="57BED0C5" w:rsidR="00ED5CC4" w:rsidRDefault="00ED5CC4" w:rsidP="00951718">
      <w:pPr>
        <w:pStyle w:val="ListParagraph"/>
        <w:numPr>
          <w:ilvl w:val="0"/>
          <w:numId w:val="37"/>
        </w:numPr>
        <w:spacing w:after="0"/>
        <w:ind w:firstLineChars="0"/>
        <w:rPr>
          <w:rFonts w:eastAsia="Arial"/>
          <w:lang w:eastAsia="zh-CN"/>
        </w:rPr>
      </w:pPr>
      <w:r w:rsidRPr="00ED5CC4">
        <w:rPr>
          <w:rFonts w:eastAsia="Arial"/>
          <w:lang w:eastAsia="zh-CN"/>
        </w:rPr>
        <w:t xml:space="preserve">Under the </w:t>
      </w:r>
      <w:proofErr w:type="spellStart"/>
      <w:r w:rsidRPr="00ED5CC4">
        <w:rPr>
          <w:rFonts w:eastAsia="Arial"/>
          <w:lang w:eastAsia="zh-CN"/>
        </w:rPr>
        <w:t>GBext</w:t>
      </w:r>
      <w:proofErr w:type="spellEnd"/>
      <w:r w:rsidRPr="00ED5CC4">
        <w:rPr>
          <w:rFonts w:eastAsia="Arial"/>
          <w:lang w:eastAsia="zh-CN"/>
        </w:rPr>
        <w:t xml:space="preserve"> header: the guard</w:t>
      </w:r>
      <w:r w:rsidR="00574379">
        <w:rPr>
          <w:rFonts w:eastAsia="Arial"/>
          <w:lang w:eastAsia="zh-CN"/>
        </w:rPr>
        <w:t xml:space="preserve"> </w:t>
      </w:r>
      <w:r w:rsidRPr="00ED5CC4">
        <w:rPr>
          <w:rFonts w:eastAsia="Arial"/>
          <w:lang w:eastAsia="zh-CN"/>
        </w:rPr>
        <w:t xml:space="preserve">band associated with </w:t>
      </w:r>
      <w:r>
        <w:rPr>
          <w:rFonts w:eastAsia="Arial"/>
          <w:lang w:eastAsia="zh-CN"/>
        </w:rPr>
        <w:t>a symmetrical NRB/2 extension (2x) and asymmetrical NRB/2 extension (1.5x) using the approach explained later in this chapter.</w:t>
      </w:r>
    </w:p>
    <w:p w14:paraId="5462EFBC" w14:textId="79CC7AC3" w:rsidR="00ED5CC4" w:rsidRPr="00ED5CC4" w:rsidRDefault="00ED5CC4" w:rsidP="00ED5CC4">
      <w:pPr>
        <w:pStyle w:val="ListParagraph"/>
        <w:numPr>
          <w:ilvl w:val="0"/>
          <w:numId w:val="37"/>
        </w:numPr>
        <w:spacing w:after="0"/>
        <w:ind w:firstLineChars="0"/>
        <w:rPr>
          <w:rFonts w:eastAsia="Arial"/>
          <w:lang w:eastAsia="zh-CN"/>
        </w:rPr>
      </w:pPr>
      <w:r w:rsidRPr="00ED5CC4">
        <w:rPr>
          <w:rFonts w:eastAsia="Arial"/>
          <w:lang w:eastAsia="zh-CN"/>
        </w:rPr>
        <w:t xml:space="preserve">Under the </w:t>
      </w:r>
      <w:proofErr w:type="spellStart"/>
      <w:r>
        <w:rPr>
          <w:rFonts w:eastAsia="Arial"/>
          <w:lang w:eastAsia="zh-CN"/>
        </w:rPr>
        <w:t>BW</w:t>
      </w:r>
      <w:r w:rsidRPr="00ED5CC4">
        <w:rPr>
          <w:rFonts w:eastAsia="Arial"/>
          <w:lang w:eastAsia="zh-CN"/>
        </w:rPr>
        <w:t>ext</w:t>
      </w:r>
      <w:proofErr w:type="spellEnd"/>
      <w:r w:rsidRPr="00ED5CC4">
        <w:rPr>
          <w:rFonts w:eastAsia="Arial"/>
          <w:lang w:eastAsia="zh-CN"/>
        </w:rPr>
        <w:t xml:space="preserve"> header: the </w:t>
      </w:r>
      <w:r>
        <w:rPr>
          <w:rFonts w:eastAsia="Arial"/>
          <w:lang w:eastAsia="zh-CN"/>
        </w:rPr>
        <w:t xml:space="preserve">extended BW </w:t>
      </w:r>
      <w:r w:rsidRPr="00ED5CC4">
        <w:rPr>
          <w:rFonts w:eastAsia="Arial"/>
          <w:lang w:eastAsia="zh-CN"/>
        </w:rPr>
        <w:t xml:space="preserve">associated with </w:t>
      </w:r>
      <w:r>
        <w:rPr>
          <w:rFonts w:eastAsia="Arial"/>
          <w:lang w:eastAsia="zh-CN"/>
        </w:rPr>
        <w:t>a symmetrical NRB/2 extension (2x) and asymmetrical NRB/2 extension (1.5x) using the NRB BW and its associated extended guard band.</w:t>
      </w:r>
    </w:p>
    <w:p w14:paraId="280D504D" w14:textId="77777777" w:rsidR="00915FA6" w:rsidRPr="008A2550" w:rsidRDefault="00915FA6" w:rsidP="00915FA6">
      <w:pPr>
        <w:pStyle w:val="Caption"/>
        <w:keepNext/>
        <w:spacing w:after="0"/>
        <w:rPr>
          <w:lang w:val="en-GB"/>
        </w:rPr>
      </w:pPr>
    </w:p>
    <w:p w14:paraId="40F5EB34" w14:textId="0FB68476" w:rsidR="00185039" w:rsidRDefault="00185039" w:rsidP="00185039">
      <w:pPr>
        <w:pStyle w:val="Caption"/>
        <w:keepNext/>
      </w:pPr>
      <w:r>
        <w:t xml:space="preserve">Table </w:t>
      </w:r>
      <w:r>
        <w:fldChar w:fldCharType="begin"/>
      </w:r>
      <w:r>
        <w:instrText xml:space="preserve"> SEQ Table \* ARABIC </w:instrText>
      </w:r>
      <w:r>
        <w:fldChar w:fldCharType="separate"/>
      </w:r>
      <w:r w:rsidR="009E44F3">
        <w:rPr>
          <w:noProof/>
        </w:rPr>
        <w:t>1</w:t>
      </w:r>
      <w:r>
        <w:fldChar w:fldCharType="end"/>
      </w:r>
      <w:r>
        <w:t>: CBW and NRB based bandwidth extension for all channel bandwidths</w:t>
      </w:r>
      <w:r w:rsidR="00ED5CC4">
        <w:t>.</w:t>
      </w:r>
    </w:p>
    <w:tbl>
      <w:tblPr>
        <w:tblW w:w="7760" w:type="dxa"/>
        <w:jc w:val="center"/>
        <w:tblLook w:val="04A0" w:firstRow="1" w:lastRow="0" w:firstColumn="1" w:lastColumn="0" w:noHBand="0" w:noVBand="1"/>
      </w:tblPr>
      <w:tblGrid>
        <w:gridCol w:w="592"/>
        <w:gridCol w:w="490"/>
        <w:gridCol w:w="490"/>
        <w:gridCol w:w="536"/>
        <w:gridCol w:w="641"/>
        <w:gridCol w:w="639"/>
        <w:gridCol w:w="528"/>
        <w:gridCol w:w="689"/>
        <w:gridCol w:w="490"/>
        <w:gridCol w:w="522"/>
        <w:gridCol w:w="718"/>
        <w:gridCol w:w="718"/>
        <w:gridCol w:w="718"/>
        <w:gridCol w:w="720"/>
      </w:tblGrid>
      <w:tr w:rsidR="00ED5CC4" w:rsidRPr="00ED5CC4" w14:paraId="61EEF93C" w14:textId="77777777" w:rsidTr="00ED5CC4">
        <w:trPr>
          <w:trHeight w:val="240"/>
          <w:jc w:val="center"/>
        </w:trPr>
        <w:tc>
          <w:tcPr>
            <w:tcW w:w="5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858DF7"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SCS</w:t>
            </w:r>
            <w:r w:rsidRPr="00ED5CC4">
              <w:rPr>
                <w:rFonts w:ascii="Calibri" w:hAnsi="Calibri" w:cs="Calibri"/>
                <w:color w:val="000000"/>
                <w:sz w:val="18"/>
                <w:szCs w:val="18"/>
                <w:lang w:val="en-US" w:eastAsia="en-US"/>
              </w:rPr>
              <w:br/>
              <w:t>[kHz]</w:t>
            </w:r>
          </w:p>
        </w:tc>
        <w:tc>
          <w:tcPr>
            <w:tcW w:w="1361" w:type="dxa"/>
            <w:gridSpan w:val="3"/>
            <w:tcBorders>
              <w:top w:val="single" w:sz="4" w:space="0" w:color="auto"/>
              <w:left w:val="nil"/>
              <w:bottom w:val="single" w:sz="4" w:space="0" w:color="auto"/>
              <w:right w:val="single" w:sz="4" w:space="0" w:color="auto"/>
            </w:tcBorders>
            <w:shd w:val="clear" w:color="auto" w:fill="auto"/>
            <w:noWrap/>
            <w:vAlign w:val="center"/>
            <w:hideMark/>
          </w:tcPr>
          <w:p w14:paraId="33A3F348"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CBW [MHz]</w:t>
            </w:r>
          </w:p>
        </w:tc>
        <w:tc>
          <w:tcPr>
            <w:tcW w:w="1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3B8CDA0"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GB [kHz]</w:t>
            </w:r>
          </w:p>
        </w:tc>
        <w:tc>
          <w:tcPr>
            <w:tcW w:w="1980" w:type="dxa"/>
            <w:gridSpan w:val="4"/>
            <w:tcBorders>
              <w:top w:val="single" w:sz="4" w:space="0" w:color="auto"/>
              <w:left w:val="nil"/>
              <w:bottom w:val="single" w:sz="4" w:space="0" w:color="auto"/>
              <w:right w:val="single" w:sz="4" w:space="0" w:color="auto"/>
            </w:tcBorders>
            <w:shd w:val="clear" w:color="000000" w:fill="8EA9DB"/>
            <w:noWrap/>
            <w:vAlign w:val="center"/>
            <w:hideMark/>
          </w:tcPr>
          <w:p w14:paraId="53B53D01"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NRB</w:t>
            </w:r>
          </w:p>
        </w:tc>
        <w:tc>
          <w:tcPr>
            <w:tcW w:w="12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AF22CF2"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ED5CC4">
              <w:rPr>
                <w:rFonts w:ascii="Calibri" w:hAnsi="Calibri" w:cs="Calibri"/>
                <w:color w:val="000000"/>
                <w:sz w:val="18"/>
                <w:szCs w:val="18"/>
                <w:lang w:val="en-US" w:eastAsia="en-US"/>
              </w:rPr>
              <w:t>GBext</w:t>
            </w:r>
            <w:proofErr w:type="spellEnd"/>
            <w:r w:rsidRPr="00ED5CC4">
              <w:rPr>
                <w:rFonts w:ascii="Calibri" w:hAnsi="Calibri" w:cs="Calibri"/>
                <w:color w:val="000000"/>
                <w:sz w:val="18"/>
                <w:szCs w:val="18"/>
                <w:lang w:val="en-US" w:eastAsia="en-US"/>
              </w:rPr>
              <w:t xml:space="preserve"> [kHz]</w:t>
            </w:r>
          </w:p>
        </w:tc>
        <w:tc>
          <w:tcPr>
            <w:tcW w:w="13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7B33B18"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ED5CC4">
              <w:rPr>
                <w:rFonts w:ascii="Calibri" w:hAnsi="Calibri" w:cs="Calibri"/>
                <w:color w:val="000000"/>
                <w:sz w:val="18"/>
                <w:szCs w:val="18"/>
                <w:lang w:val="en-US" w:eastAsia="en-US"/>
              </w:rPr>
              <w:t>BWext</w:t>
            </w:r>
            <w:proofErr w:type="spellEnd"/>
            <w:r w:rsidRPr="00ED5CC4">
              <w:rPr>
                <w:rFonts w:ascii="Calibri" w:hAnsi="Calibri" w:cs="Calibri"/>
                <w:color w:val="000000"/>
                <w:sz w:val="18"/>
                <w:szCs w:val="18"/>
                <w:lang w:val="en-US" w:eastAsia="en-US"/>
              </w:rPr>
              <w:t xml:space="preserve"> [MHz]</w:t>
            </w:r>
          </w:p>
        </w:tc>
      </w:tr>
      <w:tr w:rsidR="00ED5CC4" w:rsidRPr="00ED5CC4" w14:paraId="753B0D46" w14:textId="77777777" w:rsidTr="00ED5CC4">
        <w:trPr>
          <w:trHeight w:val="240"/>
          <w:jc w:val="center"/>
        </w:trPr>
        <w:tc>
          <w:tcPr>
            <w:tcW w:w="519" w:type="dxa"/>
            <w:vMerge/>
            <w:tcBorders>
              <w:top w:val="single" w:sz="4" w:space="0" w:color="auto"/>
              <w:left w:val="single" w:sz="4" w:space="0" w:color="auto"/>
              <w:bottom w:val="single" w:sz="4" w:space="0" w:color="auto"/>
              <w:right w:val="single" w:sz="4" w:space="0" w:color="auto"/>
            </w:tcBorders>
            <w:vAlign w:val="center"/>
            <w:hideMark/>
          </w:tcPr>
          <w:p w14:paraId="27DC53C2" w14:textId="77777777" w:rsidR="00ED5CC4" w:rsidRPr="00ED5CC4" w:rsidRDefault="00ED5CC4" w:rsidP="00ED5CC4">
            <w:pPr>
              <w:overflowPunct/>
              <w:autoSpaceDE/>
              <w:autoSpaceDN/>
              <w:adjustRightInd/>
              <w:spacing w:after="0"/>
              <w:textAlignment w:val="auto"/>
              <w:rPr>
                <w:rFonts w:ascii="Calibri" w:hAnsi="Calibri" w:cs="Calibri"/>
                <w:color w:val="000000"/>
                <w:sz w:val="18"/>
                <w:szCs w:val="18"/>
                <w:lang w:val="en-US" w:eastAsia="en-US"/>
              </w:rPr>
            </w:pPr>
          </w:p>
        </w:tc>
        <w:tc>
          <w:tcPr>
            <w:tcW w:w="432" w:type="dxa"/>
            <w:tcBorders>
              <w:top w:val="nil"/>
              <w:left w:val="nil"/>
              <w:bottom w:val="single" w:sz="4" w:space="0" w:color="auto"/>
              <w:right w:val="single" w:sz="4" w:space="0" w:color="auto"/>
            </w:tcBorders>
            <w:shd w:val="clear" w:color="auto" w:fill="auto"/>
            <w:noWrap/>
            <w:vAlign w:val="center"/>
            <w:hideMark/>
          </w:tcPr>
          <w:p w14:paraId="4A85EE9A" w14:textId="77777777" w:rsidR="00ED5CC4" w:rsidRPr="00ED5CC4" w:rsidRDefault="00ED5CC4" w:rsidP="00ED5CC4">
            <w:pPr>
              <w:overflowPunct/>
              <w:autoSpaceDE/>
              <w:autoSpaceDN/>
              <w:adjustRightInd/>
              <w:spacing w:after="0"/>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1x</w:t>
            </w:r>
          </w:p>
        </w:tc>
        <w:tc>
          <w:tcPr>
            <w:tcW w:w="432" w:type="dxa"/>
            <w:tcBorders>
              <w:top w:val="nil"/>
              <w:left w:val="nil"/>
              <w:bottom w:val="single" w:sz="4" w:space="0" w:color="auto"/>
              <w:right w:val="single" w:sz="4" w:space="0" w:color="auto"/>
            </w:tcBorders>
            <w:shd w:val="clear" w:color="auto" w:fill="auto"/>
            <w:noWrap/>
            <w:vAlign w:val="center"/>
            <w:hideMark/>
          </w:tcPr>
          <w:p w14:paraId="0F1F5B78" w14:textId="77777777" w:rsidR="00ED5CC4" w:rsidRPr="00ED5CC4" w:rsidRDefault="00ED5CC4" w:rsidP="00ED5CC4">
            <w:pPr>
              <w:overflowPunct/>
              <w:autoSpaceDE/>
              <w:autoSpaceDN/>
              <w:adjustRightInd/>
              <w:spacing w:after="0"/>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2x</w:t>
            </w:r>
          </w:p>
        </w:tc>
        <w:tc>
          <w:tcPr>
            <w:tcW w:w="497" w:type="dxa"/>
            <w:tcBorders>
              <w:top w:val="nil"/>
              <w:left w:val="nil"/>
              <w:bottom w:val="single" w:sz="4" w:space="0" w:color="auto"/>
              <w:right w:val="single" w:sz="4" w:space="0" w:color="auto"/>
            </w:tcBorders>
            <w:shd w:val="clear" w:color="auto" w:fill="auto"/>
            <w:noWrap/>
            <w:vAlign w:val="center"/>
            <w:hideMark/>
          </w:tcPr>
          <w:p w14:paraId="4104D60C" w14:textId="77777777" w:rsidR="00ED5CC4" w:rsidRPr="00ED5CC4" w:rsidRDefault="00ED5CC4" w:rsidP="00ED5CC4">
            <w:pPr>
              <w:overflowPunct/>
              <w:autoSpaceDE/>
              <w:autoSpaceDN/>
              <w:adjustRightInd/>
              <w:spacing w:after="0"/>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1.5x</w:t>
            </w:r>
          </w:p>
        </w:tc>
        <w:tc>
          <w:tcPr>
            <w:tcW w:w="641" w:type="dxa"/>
            <w:tcBorders>
              <w:top w:val="nil"/>
              <w:left w:val="nil"/>
              <w:bottom w:val="single" w:sz="4" w:space="0" w:color="auto"/>
              <w:right w:val="single" w:sz="4" w:space="0" w:color="auto"/>
            </w:tcBorders>
            <w:shd w:val="clear" w:color="auto" w:fill="auto"/>
            <w:noWrap/>
            <w:vAlign w:val="center"/>
            <w:hideMark/>
          </w:tcPr>
          <w:p w14:paraId="719460D3" w14:textId="77777777" w:rsidR="00ED5CC4" w:rsidRPr="00ED5CC4" w:rsidRDefault="00ED5CC4" w:rsidP="00ED5CC4">
            <w:pPr>
              <w:overflowPunct/>
              <w:autoSpaceDE/>
              <w:autoSpaceDN/>
              <w:adjustRightInd/>
              <w:spacing w:after="0"/>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GB</w:t>
            </w:r>
          </w:p>
        </w:tc>
        <w:tc>
          <w:tcPr>
            <w:tcW w:w="639" w:type="dxa"/>
            <w:tcBorders>
              <w:top w:val="nil"/>
              <w:left w:val="nil"/>
              <w:bottom w:val="single" w:sz="4" w:space="0" w:color="auto"/>
              <w:right w:val="single" w:sz="4" w:space="0" w:color="auto"/>
            </w:tcBorders>
            <w:shd w:val="clear" w:color="auto" w:fill="auto"/>
            <w:noWrap/>
            <w:vAlign w:val="center"/>
            <w:hideMark/>
          </w:tcPr>
          <w:p w14:paraId="64537004" w14:textId="77777777" w:rsidR="00ED5CC4" w:rsidRPr="00ED5CC4" w:rsidRDefault="00ED5CC4" w:rsidP="00ED5CC4">
            <w:pPr>
              <w:overflowPunct/>
              <w:autoSpaceDE/>
              <w:autoSpaceDN/>
              <w:adjustRightInd/>
              <w:spacing w:after="0"/>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max</w:t>
            </w:r>
          </w:p>
        </w:tc>
        <w:tc>
          <w:tcPr>
            <w:tcW w:w="460" w:type="dxa"/>
            <w:tcBorders>
              <w:top w:val="nil"/>
              <w:left w:val="nil"/>
              <w:bottom w:val="single" w:sz="4" w:space="0" w:color="auto"/>
              <w:right w:val="single" w:sz="4" w:space="0" w:color="auto"/>
            </w:tcBorders>
            <w:shd w:val="clear" w:color="000000" w:fill="B4C6E7"/>
            <w:noWrap/>
            <w:vAlign w:val="center"/>
            <w:hideMark/>
          </w:tcPr>
          <w:p w14:paraId="6FFD42E9"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NRB</w:t>
            </w:r>
          </w:p>
        </w:tc>
        <w:tc>
          <w:tcPr>
            <w:tcW w:w="640" w:type="dxa"/>
            <w:tcBorders>
              <w:top w:val="nil"/>
              <w:left w:val="nil"/>
              <w:bottom w:val="single" w:sz="4" w:space="0" w:color="auto"/>
              <w:right w:val="single" w:sz="4" w:space="0" w:color="auto"/>
            </w:tcBorders>
            <w:shd w:val="clear" w:color="000000" w:fill="DDEBF7"/>
            <w:noWrap/>
            <w:vAlign w:val="center"/>
            <w:hideMark/>
          </w:tcPr>
          <w:p w14:paraId="61FCCF57"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NRB/2</w:t>
            </w:r>
          </w:p>
        </w:tc>
        <w:tc>
          <w:tcPr>
            <w:tcW w:w="420" w:type="dxa"/>
            <w:tcBorders>
              <w:top w:val="nil"/>
              <w:left w:val="nil"/>
              <w:bottom w:val="single" w:sz="4" w:space="0" w:color="auto"/>
              <w:right w:val="single" w:sz="4" w:space="0" w:color="auto"/>
            </w:tcBorders>
            <w:shd w:val="clear" w:color="auto" w:fill="auto"/>
            <w:noWrap/>
            <w:vAlign w:val="center"/>
            <w:hideMark/>
          </w:tcPr>
          <w:p w14:paraId="3AAB2F9F"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2x</w:t>
            </w:r>
          </w:p>
        </w:tc>
        <w:tc>
          <w:tcPr>
            <w:tcW w:w="460" w:type="dxa"/>
            <w:tcBorders>
              <w:top w:val="nil"/>
              <w:left w:val="nil"/>
              <w:bottom w:val="single" w:sz="4" w:space="0" w:color="auto"/>
              <w:right w:val="single" w:sz="4" w:space="0" w:color="auto"/>
            </w:tcBorders>
            <w:shd w:val="clear" w:color="auto" w:fill="auto"/>
            <w:noWrap/>
            <w:vAlign w:val="center"/>
            <w:hideMark/>
          </w:tcPr>
          <w:p w14:paraId="544EB9A2"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1.5x</w:t>
            </w:r>
          </w:p>
        </w:tc>
        <w:tc>
          <w:tcPr>
            <w:tcW w:w="620" w:type="dxa"/>
            <w:tcBorders>
              <w:top w:val="nil"/>
              <w:left w:val="nil"/>
              <w:bottom w:val="single" w:sz="4" w:space="0" w:color="auto"/>
              <w:right w:val="single" w:sz="4" w:space="0" w:color="auto"/>
            </w:tcBorders>
            <w:shd w:val="clear" w:color="auto" w:fill="auto"/>
            <w:noWrap/>
            <w:vAlign w:val="center"/>
            <w:hideMark/>
          </w:tcPr>
          <w:p w14:paraId="6B3451A4"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2x</w:t>
            </w:r>
          </w:p>
        </w:tc>
        <w:tc>
          <w:tcPr>
            <w:tcW w:w="620" w:type="dxa"/>
            <w:tcBorders>
              <w:top w:val="nil"/>
              <w:left w:val="nil"/>
              <w:bottom w:val="single" w:sz="4" w:space="0" w:color="auto"/>
              <w:right w:val="single" w:sz="4" w:space="0" w:color="auto"/>
            </w:tcBorders>
            <w:shd w:val="clear" w:color="auto" w:fill="auto"/>
            <w:noWrap/>
            <w:vAlign w:val="center"/>
            <w:hideMark/>
          </w:tcPr>
          <w:p w14:paraId="512CFFF5"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1.5x</w:t>
            </w:r>
          </w:p>
        </w:tc>
        <w:tc>
          <w:tcPr>
            <w:tcW w:w="660" w:type="dxa"/>
            <w:tcBorders>
              <w:top w:val="nil"/>
              <w:left w:val="nil"/>
              <w:bottom w:val="single" w:sz="4" w:space="0" w:color="auto"/>
              <w:right w:val="single" w:sz="4" w:space="0" w:color="auto"/>
            </w:tcBorders>
            <w:shd w:val="clear" w:color="auto" w:fill="auto"/>
            <w:noWrap/>
            <w:vAlign w:val="center"/>
            <w:hideMark/>
          </w:tcPr>
          <w:p w14:paraId="46642BC0"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2x</w:t>
            </w:r>
          </w:p>
        </w:tc>
        <w:tc>
          <w:tcPr>
            <w:tcW w:w="720" w:type="dxa"/>
            <w:tcBorders>
              <w:top w:val="nil"/>
              <w:left w:val="nil"/>
              <w:bottom w:val="single" w:sz="4" w:space="0" w:color="auto"/>
              <w:right w:val="single" w:sz="4" w:space="0" w:color="auto"/>
            </w:tcBorders>
            <w:shd w:val="clear" w:color="auto" w:fill="auto"/>
            <w:noWrap/>
            <w:vAlign w:val="center"/>
            <w:hideMark/>
          </w:tcPr>
          <w:p w14:paraId="0BEF451C"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1.5x</w:t>
            </w:r>
          </w:p>
        </w:tc>
      </w:tr>
      <w:tr w:rsidR="00ED5CC4" w:rsidRPr="00ED5CC4" w14:paraId="5DFCCF55" w14:textId="77777777" w:rsidTr="00ED5CC4">
        <w:trPr>
          <w:trHeight w:val="240"/>
          <w:jc w:val="center"/>
        </w:trPr>
        <w:tc>
          <w:tcPr>
            <w:tcW w:w="519" w:type="dxa"/>
            <w:vMerge w:val="restart"/>
            <w:tcBorders>
              <w:top w:val="nil"/>
              <w:left w:val="single" w:sz="4" w:space="0" w:color="auto"/>
              <w:bottom w:val="single" w:sz="4" w:space="0" w:color="auto"/>
              <w:right w:val="single" w:sz="4" w:space="0" w:color="auto"/>
            </w:tcBorders>
            <w:shd w:val="clear" w:color="auto" w:fill="auto"/>
            <w:vAlign w:val="center"/>
            <w:hideMark/>
          </w:tcPr>
          <w:p w14:paraId="757928EB"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15</w:t>
            </w:r>
          </w:p>
        </w:tc>
        <w:tc>
          <w:tcPr>
            <w:tcW w:w="432" w:type="dxa"/>
            <w:tcBorders>
              <w:top w:val="nil"/>
              <w:left w:val="nil"/>
              <w:bottom w:val="single" w:sz="4" w:space="0" w:color="auto"/>
              <w:right w:val="single" w:sz="4" w:space="0" w:color="auto"/>
            </w:tcBorders>
            <w:shd w:val="clear" w:color="auto" w:fill="auto"/>
            <w:noWrap/>
            <w:vAlign w:val="center"/>
            <w:hideMark/>
          </w:tcPr>
          <w:p w14:paraId="4423AE31"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3</w:t>
            </w:r>
          </w:p>
        </w:tc>
        <w:tc>
          <w:tcPr>
            <w:tcW w:w="432" w:type="dxa"/>
            <w:tcBorders>
              <w:top w:val="nil"/>
              <w:left w:val="nil"/>
              <w:bottom w:val="single" w:sz="4" w:space="0" w:color="auto"/>
              <w:right w:val="single" w:sz="4" w:space="0" w:color="auto"/>
            </w:tcBorders>
            <w:shd w:val="clear" w:color="000000" w:fill="548235"/>
            <w:noWrap/>
            <w:vAlign w:val="center"/>
            <w:hideMark/>
          </w:tcPr>
          <w:p w14:paraId="27DE5A28"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6</w:t>
            </w:r>
          </w:p>
        </w:tc>
        <w:tc>
          <w:tcPr>
            <w:tcW w:w="497" w:type="dxa"/>
            <w:tcBorders>
              <w:top w:val="nil"/>
              <w:left w:val="nil"/>
              <w:bottom w:val="single" w:sz="4" w:space="0" w:color="auto"/>
              <w:right w:val="single" w:sz="4" w:space="0" w:color="auto"/>
            </w:tcBorders>
            <w:shd w:val="clear" w:color="000000" w:fill="375623"/>
            <w:noWrap/>
            <w:vAlign w:val="center"/>
            <w:hideMark/>
          </w:tcPr>
          <w:p w14:paraId="18356788" w14:textId="77777777" w:rsidR="00ED5CC4" w:rsidRPr="00ED5CC4" w:rsidRDefault="00ED5CC4" w:rsidP="00ED5CC4">
            <w:pPr>
              <w:overflowPunct/>
              <w:autoSpaceDE/>
              <w:autoSpaceDN/>
              <w:adjustRightInd/>
              <w:spacing w:after="0"/>
              <w:jc w:val="center"/>
              <w:textAlignment w:val="auto"/>
              <w:rPr>
                <w:rFonts w:ascii="Calibri" w:hAnsi="Calibri" w:cs="Calibri"/>
                <w:b/>
                <w:bCs/>
                <w:color w:val="000000"/>
                <w:sz w:val="18"/>
                <w:szCs w:val="18"/>
                <w:lang w:val="en-US" w:eastAsia="en-US"/>
              </w:rPr>
            </w:pPr>
            <w:r w:rsidRPr="00ED5CC4">
              <w:rPr>
                <w:rFonts w:ascii="Calibri" w:hAnsi="Calibri" w:cs="Calibri"/>
                <w:b/>
                <w:bCs/>
                <w:color w:val="000000"/>
                <w:sz w:val="18"/>
                <w:szCs w:val="18"/>
                <w:lang w:val="en-US" w:eastAsia="en-US"/>
              </w:rPr>
              <w:t>4.5</w:t>
            </w:r>
          </w:p>
        </w:tc>
        <w:tc>
          <w:tcPr>
            <w:tcW w:w="641" w:type="dxa"/>
            <w:tcBorders>
              <w:top w:val="nil"/>
              <w:left w:val="nil"/>
              <w:bottom w:val="single" w:sz="4" w:space="0" w:color="auto"/>
              <w:right w:val="single" w:sz="4" w:space="0" w:color="auto"/>
            </w:tcBorders>
            <w:shd w:val="clear" w:color="auto" w:fill="auto"/>
            <w:noWrap/>
            <w:vAlign w:val="center"/>
            <w:hideMark/>
          </w:tcPr>
          <w:p w14:paraId="53D18C52"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142.5</w:t>
            </w:r>
          </w:p>
        </w:tc>
        <w:tc>
          <w:tcPr>
            <w:tcW w:w="639" w:type="dxa"/>
            <w:tcBorders>
              <w:top w:val="nil"/>
              <w:left w:val="nil"/>
              <w:bottom w:val="single" w:sz="4" w:space="0" w:color="auto"/>
              <w:right w:val="single" w:sz="4" w:space="0" w:color="auto"/>
            </w:tcBorders>
            <w:shd w:val="clear" w:color="auto" w:fill="auto"/>
            <w:noWrap/>
            <w:vAlign w:val="center"/>
            <w:hideMark/>
          </w:tcPr>
          <w:p w14:paraId="2900FD4F"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242.5</w:t>
            </w:r>
          </w:p>
        </w:tc>
        <w:tc>
          <w:tcPr>
            <w:tcW w:w="460" w:type="dxa"/>
            <w:tcBorders>
              <w:top w:val="nil"/>
              <w:left w:val="nil"/>
              <w:bottom w:val="single" w:sz="4" w:space="0" w:color="auto"/>
              <w:right w:val="single" w:sz="4" w:space="0" w:color="auto"/>
            </w:tcBorders>
            <w:shd w:val="clear" w:color="000000" w:fill="B4C6E7"/>
            <w:vAlign w:val="center"/>
            <w:hideMark/>
          </w:tcPr>
          <w:p w14:paraId="2602792C"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15</w:t>
            </w:r>
          </w:p>
        </w:tc>
        <w:tc>
          <w:tcPr>
            <w:tcW w:w="640" w:type="dxa"/>
            <w:tcBorders>
              <w:top w:val="nil"/>
              <w:left w:val="nil"/>
              <w:bottom w:val="single" w:sz="4" w:space="0" w:color="auto"/>
              <w:right w:val="single" w:sz="4" w:space="0" w:color="auto"/>
            </w:tcBorders>
            <w:shd w:val="clear" w:color="000000" w:fill="DDEBF7"/>
            <w:vAlign w:val="center"/>
            <w:hideMark/>
          </w:tcPr>
          <w:p w14:paraId="47EF4CAC"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8</w:t>
            </w:r>
          </w:p>
        </w:tc>
        <w:tc>
          <w:tcPr>
            <w:tcW w:w="420" w:type="dxa"/>
            <w:tcBorders>
              <w:top w:val="nil"/>
              <w:left w:val="nil"/>
              <w:bottom w:val="single" w:sz="4" w:space="0" w:color="auto"/>
              <w:right w:val="single" w:sz="4" w:space="0" w:color="auto"/>
            </w:tcBorders>
            <w:shd w:val="clear" w:color="000000" w:fill="00B050"/>
            <w:vAlign w:val="center"/>
            <w:hideMark/>
          </w:tcPr>
          <w:p w14:paraId="425D4B76"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31</w:t>
            </w:r>
          </w:p>
        </w:tc>
        <w:tc>
          <w:tcPr>
            <w:tcW w:w="460" w:type="dxa"/>
            <w:tcBorders>
              <w:top w:val="nil"/>
              <w:left w:val="nil"/>
              <w:bottom w:val="single" w:sz="4" w:space="0" w:color="auto"/>
              <w:right w:val="single" w:sz="4" w:space="0" w:color="auto"/>
            </w:tcBorders>
            <w:shd w:val="clear" w:color="000000" w:fill="00B050"/>
            <w:vAlign w:val="center"/>
            <w:hideMark/>
          </w:tcPr>
          <w:p w14:paraId="1024B3B4"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23</w:t>
            </w:r>
          </w:p>
        </w:tc>
        <w:tc>
          <w:tcPr>
            <w:tcW w:w="620" w:type="dxa"/>
            <w:tcBorders>
              <w:top w:val="nil"/>
              <w:left w:val="nil"/>
              <w:bottom w:val="single" w:sz="4" w:space="0" w:color="auto"/>
              <w:right w:val="single" w:sz="4" w:space="0" w:color="auto"/>
            </w:tcBorders>
            <w:shd w:val="clear" w:color="auto" w:fill="auto"/>
            <w:vAlign w:val="center"/>
            <w:hideMark/>
          </w:tcPr>
          <w:p w14:paraId="6B0EBEF4"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342.5</w:t>
            </w:r>
          </w:p>
        </w:tc>
        <w:tc>
          <w:tcPr>
            <w:tcW w:w="620" w:type="dxa"/>
            <w:tcBorders>
              <w:top w:val="nil"/>
              <w:left w:val="nil"/>
              <w:bottom w:val="single" w:sz="4" w:space="0" w:color="auto"/>
              <w:right w:val="single" w:sz="4" w:space="0" w:color="auto"/>
            </w:tcBorders>
            <w:shd w:val="clear" w:color="auto" w:fill="auto"/>
            <w:vAlign w:val="center"/>
            <w:hideMark/>
          </w:tcPr>
          <w:p w14:paraId="2FC08A2E"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242.5</w:t>
            </w:r>
          </w:p>
        </w:tc>
        <w:tc>
          <w:tcPr>
            <w:tcW w:w="660" w:type="dxa"/>
            <w:tcBorders>
              <w:top w:val="nil"/>
              <w:left w:val="nil"/>
              <w:bottom w:val="single" w:sz="4" w:space="0" w:color="auto"/>
              <w:right w:val="single" w:sz="4" w:space="0" w:color="auto"/>
            </w:tcBorders>
            <w:shd w:val="clear" w:color="000000" w:fill="FFC000"/>
            <w:vAlign w:val="center"/>
            <w:hideMark/>
          </w:tcPr>
          <w:p w14:paraId="0881E426"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6.28</w:t>
            </w:r>
          </w:p>
        </w:tc>
        <w:tc>
          <w:tcPr>
            <w:tcW w:w="720" w:type="dxa"/>
            <w:tcBorders>
              <w:top w:val="nil"/>
              <w:left w:val="nil"/>
              <w:bottom w:val="single" w:sz="4" w:space="0" w:color="auto"/>
              <w:right w:val="single" w:sz="4" w:space="0" w:color="auto"/>
            </w:tcBorders>
            <w:shd w:val="clear" w:color="000000" w:fill="FFC000"/>
            <w:vAlign w:val="center"/>
            <w:hideMark/>
          </w:tcPr>
          <w:p w14:paraId="7A1A4CAF"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4.64</w:t>
            </w:r>
          </w:p>
        </w:tc>
      </w:tr>
      <w:tr w:rsidR="00ED5CC4" w:rsidRPr="00ED5CC4" w14:paraId="7DFCC443" w14:textId="77777777" w:rsidTr="00ED5CC4">
        <w:trPr>
          <w:trHeight w:val="240"/>
          <w:jc w:val="center"/>
        </w:trPr>
        <w:tc>
          <w:tcPr>
            <w:tcW w:w="519" w:type="dxa"/>
            <w:vMerge/>
            <w:tcBorders>
              <w:top w:val="nil"/>
              <w:left w:val="single" w:sz="4" w:space="0" w:color="auto"/>
              <w:bottom w:val="single" w:sz="4" w:space="0" w:color="auto"/>
              <w:right w:val="single" w:sz="4" w:space="0" w:color="auto"/>
            </w:tcBorders>
            <w:vAlign w:val="center"/>
            <w:hideMark/>
          </w:tcPr>
          <w:p w14:paraId="46AAD029" w14:textId="77777777" w:rsidR="00ED5CC4" w:rsidRPr="00ED5CC4" w:rsidRDefault="00ED5CC4" w:rsidP="00ED5CC4">
            <w:pPr>
              <w:overflowPunct/>
              <w:autoSpaceDE/>
              <w:autoSpaceDN/>
              <w:adjustRightInd/>
              <w:spacing w:after="0"/>
              <w:textAlignment w:val="auto"/>
              <w:rPr>
                <w:rFonts w:ascii="Calibri" w:hAnsi="Calibri" w:cs="Calibri"/>
                <w:color w:val="000000"/>
                <w:sz w:val="18"/>
                <w:szCs w:val="18"/>
                <w:lang w:val="en-US" w:eastAsia="en-US"/>
              </w:rPr>
            </w:pPr>
          </w:p>
        </w:tc>
        <w:tc>
          <w:tcPr>
            <w:tcW w:w="432" w:type="dxa"/>
            <w:tcBorders>
              <w:top w:val="nil"/>
              <w:left w:val="nil"/>
              <w:bottom w:val="single" w:sz="4" w:space="0" w:color="auto"/>
              <w:right w:val="single" w:sz="4" w:space="0" w:color="auto"/>
            </w:tcBorders>
            <w:shd w:val="clear" w:color="000000" w:fill="375623"/>
            <w:noWrap/>
            <w:vAlign w:val="center"/>
            <w:hideMark/>
          </w:tcPr>
          <w:p w14:paraId="22009E65" w14:textId="77777777" w:rsidR="00ED5CC4" w:rsidRPr="00ED5CC4" w:rsidRDefault="00ED5CC4" w:rsidP="00ED5CC4">
            <w:pPr>
              <w:overflowPunct/>
              <w:autoSpaceDE/>
              <w:autoSpaceDN/>
              <w:adjustRightInd/>
              <w:spacing w:after="0"/>
              <w:jc w:val="center"/>
              <w:textAlignment w:val="auto"/>
              <w:rPr>
                <w:rFonts w:ascii="Calibri" w:hAnsi="Calibri" w:cs="Calibri"/>
                <w:b/>
                <w:bCs/>
                <w:color w:val="000000"/>
                <w:sz w:val="18"/>
                <w:szCs w:val="18"/>
                <w:lang w:val="en-US" w:eastAsia="en-US"/>
              </w:rPr>
            </w:pPr>
            <w:r w:rsidRPr="00ED5CC4">
              <w:rPr>
                <w:rFonts w:ascii="Calibri" w:hAnsi="Calibri" w:cs="Calibri"/>
                <w:b/>
                <w:bCs/>
                <w:color w:val="000000"/>
                <w:sz w:val="18"/>
                <w:szCs w:val="18"/>
                <w:lang w:val="en-US" w:eastAsia="en-US"/>
              </w:rPr>
              <w:t>5</w:t>
            </w:r>
          </w:p>
        </w:tc>
        <w:tc>
          <w:tcPr>
            <w:tcW w:w="432" w:type="dxa"/>
            <w:tcBorders>
              <w:top w:val="nil"/>
              <w:left w:val="nil"/>
              <w:bottom w:val="single" w:sz="4" w:space="0" w:color="auto"/>
              <w:right w:val="single" w:sz="4" w:space="0" w:color="auto"/>
            </w:tcBorders>
            <w:shd w:val="clear" w:color="000000" w:fill="70AD47"/>
            <w:noWrap/>
            <w:vAlign w:val="center"/>
            <w:hideMark/>
          </w:tcPr>
          <w:p w14:paraId="0CC958F1" w14:textId="77777777" w:rsidR="00ED5CC4" w:rsidRPr="00ED5CC4" w:rsidRDefault="00ED5CC4" w:rsidP="00ED5CC4">
            <w:pPr>
              <w:overflowPunct/>
              <w:autoSpaceDE/>
              <w:autoSpaceDN/>
              <w:adjustRightInd/>
              <w:spacing w:after="0"/>
              <w:jc w:val="center"/>
              <w:textAlignment w:val="auto"/>
              <w:rPr>
                <w:rFonts w:ascii="Calibri" w:hAnsi="Calibri" w:cs="Calibri"/>
                <w:b/>
                <w:bCs/>
                <w:color w:val="000000"/>
                <w:sz w:val="18"/>
                <w:szCs w:val="18"/>
                <w:lang w:val="en-US" w:eastAsia="en-US"/>
              </w:rPr>
            </w:pPr>
            <w:r w:rsidRPr="00ED5CC4">
              <w:rPr>
                <w:rFonts w:ascii="Calibri" w:hAnsi="Calibri" w:cs="Calibri"/>
                <w:b/>
                <w:bCs/>
                <w:color w:val="000000"/>
                <w:sz w:val="18"/>
                <w:szCs w:val="18"/>
                <w:lang w:val="en-US" w:eastAsia="en-US"/>
              </w:rPr>
              <w:t>10</w:t>
            </w:r>
          </w:p>
        </w:tc>
        <w:tc>
          <w:tcPr>
            <w:tcW w:w="497" w:type="dxa"/>
            <w:tcBorders>
              <w:top w:val="nil"/>
              <w:left w:val="nil"/>
              <w:bottom w:val="single" w:sz="4" w:space="0" w:color="auto"/>
              <w:right w:val="single" w:sz="4" w:space="0" w:color="auto"/>
            </w:tcBorders>
            <w:shd w:val="clear" w:color="000000" w:fill="70AD47"/>
            <w:noWrap/>
            <w:vAlign w:val="center"/>
            <w:hideMark/>
          </w:tcPr>
          <w:p w14:paraId="2365DDA2" w14:textId="77777777" w:rsidR="00ED5CC4" w:rsidRPr="00ED5CC4" w:rsidRDefault="00ED5CC4" w:rsidP="00ED5CC4">
            <w:pPr>
              <w:overflowPunct/>
              <w:autoSpaceDE/>
              <w:autoSpaceDN/>
              <w:adjustRightInd/>
              <w:spacing w:after="0"/>
              <w:jc w:val="center"/>
              <w:textAlignment w:val="auto"/>
              <w:rPr>
                <w:rFonts w:ascii="Calibri" w:hAnsi="Calibri" w:cs="Calibri"/>
                <w:b/>
                <w:bCs/>
                <w:color w:val="000000"/>
                <w:sz w:val="18"/>
                <w:szCs w:val="18"/>
                <w:lang w:val="en-US" w:eastAsia="en-US"/>
              </w:rPr>
            </w:pPr>
            <w:r w:rsidRPr="00ED5CC4">
              <w:rPr>
                <w:rFonts w:ascii="Calibri" w:hAnsi="Calibri" w:cs="Calibri"/>
                <w:b/>
                <w:bCs/>
                <w:color w:val="000000"/>
                <w:sz w:val="18"/>
                <w:szCs w:val="18"/>
                <w:lang w:val="en-US" w:eastAsia="en-US"/>
              </w:rPr>
              <w:t>7.5</w:t>
            </w:r>
          </w:p>
        </w:tc>
        <w:tc>
          <w:tcPr>
            <w:tcW w:w="641" w:type="dxa"/>
            <w:tcBorders>
              <w:top w:val="nil"/>
              <w:left w:val="nil"/>
              <w:bottom w:val="single" w:sz="4" w:space="0" w:color="auto"/>
              <w:right w:val="single" w:sz="4" w:space="0" w:color="auto"/>
            </w:tcBorders>
            <w:shd w:val="clear" w:color="auto" w:fill="auto"/>
            <w:noWrap/>
            <w:vAlign w:val="center"/>
            <w:hideMark/>
          </w:tcPr>
          <w:p w14:paraId="15F45FA7" w14:textId="77777777" w:rsidR="00ED5CC4" w:rsidRPr="00ED5CC4" w:rsidRDefault="00ED5CC4" w:rsidP="00ED5CC4">
            <w:pPr>
              <w:overflowPunct/>
              <w:autoSpaceDE/>
              <w:autoSpaceDN/>
              <w:adjustRightInd/>
              <w:spacing w:after="0"/>
              <w:jc w:val="center"/>
              <w:textAlignment w:val="auto"/>
              <w:rPr>
                <w:rFonts w:ascii="Calibri" w:hAnsi="Calibri" w:cs="Calibri"/>
                <w:b/>
                <w:bCs/>
                <w:color w:val="000000"/>
                <w:sz w:val="18"/>
                <w:szCs w:val="18"/>
                <w:lang w:val="en-US" w:eastAsia="en-US"/>
              </w:rPr>
            </w:pPr>
            <w:r w:rsidRPr="00ED5CC4">
              <w:rPr>
                <w:rFonts w:ascii="Calibri" w:hAnsi="Calibri" w:cs="Calibri"/>
                <w:b/>
                <w:bCs/>
                <w:color w:val="000000"/>
                <w:sz w:val="18"/>
                <w:szCs w:val="18"/>
                <w:lang w:val="en-US" w:eastAsia="en-US"/>
              </w:rPr>
              <w:t>242.5</w:t>
            </w:r>
          </w:p>
        </w:tc>
        <w:tc>
          <w:tcPr>
            <w:tcW w:w="639" w:type="dxa"/>
            <w:tcBorders>
              <w:top w:val="nil"/>
              <w:left w:val="nil"/>
              <w:bottom w:val="single" w:sz="4" w:space="0" w:color="auto"/>
              <w:right w:val="single" w:sz="4" w:space="0" w:color="auto"/>
            </w:tcBorders>
            <w:shd w:val="clear" w:color="auto" w:fill="auto"/>
            <w:noWrap/>
            <w:vAlign w:val="center"/>
            <w:hideMark/>
          </w:tcPr>
          <w:p w14:paraId="5B064E4D"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342.5</w:t>
            </w:r>
          </w:p>
        </w:tc>
        <w:tc>
          <w:tcPr>
            <w:tcW w:w="460" w:type="dxa"/>
            <w:tcBorders>
              <w:top w:val="nil"/>
              <w:left w:val="nil"/>
              <w:bottom w:val="single" w:sz="4" w:space="0" w:color="auto"/>
              <w:right w:val="single" w:sz="4" w:space="0" w:color="auto"/>
            </w:tcBorders>
            <w:shd w:val="clear" w:color="000000" w:fill="B4C6E7"/>
            <w:vAlign w:val="center"/>
            <w:hideMark/>
          </w:tcPr>
          <w:p w14:paraId="1BF6C880" w14:textId="77777777" w:rsidR="00ED5CC4" w:rsidRPr="00ED5CC4" w:rsidRDefault="00ED5CC4" w:rsidP="00ED5CC4">
            <w:pPr>
              <w:overflowPunct/>
              <w:autoSpaceDE/>
              <w:autoSpaceDN/>
              <w:adjustRightInd/>
              <w:spacing w:after="0"/>
              <w:jc w:val="center"/>
              <w:textAlignment w:val="auto"/>
              <w:rPr>
                <w:rFonts w:ascii="Calibri" w:hAnsi="Calibri" w:cs="Calibri"/>
                <w:b/>
                <w:bCs/>
                <w:color w:val="000000"/>
                <w:sz w:val="18"/>
                <w:szCs w:val="18"/>
                <w:lang w:val="en-US" w:eastAsia="en-US"/>
              </w:rPr>
            </w:pPr>
            <w:r w:rsidRPr="00ED5CC4">
              <w:rPr>
                <w:rFonts w:ascii="Calibri" w:hAnsi="Calibri" w:cs="Calibri"/>
                <w:b/>
                <w:bCs/>
                <w:color w:val="000000"/>
                <w:sz w:val="18"/>
                <w:szCs w:val="18"/>
                <w:lang w:val="en-US" w:eastAsia="en-US"/>
              </w:rPr>
              <w:t>25</w:t>
            </w:r>
          </w:p>
        </w:tc>
        <w:tc>
          <w:tcPr>
            <w:tcW w:w="640" w:type="dxa"/>
            <w:tcBorders>
              <w:top w:val="nil"/>
              <w:left w:val="nil"/>
              <w:bottom w:val="single" w:sz="4" w:space="0" w:color="auto"/>
              <w:right w:val="single" w:sz="4" w:space="0" w:color="auto"/>
            </w:tcBorders>
            <w:shd w:val="clear" w:color="000000" w:fill="DDEBF7"/>
            <w:vAlign w:val="center"/>
            <w:hideMark/>
          </w:tcPr>
          <w:p w14:paraId="657698E2" w14:textId="77777777" w:rsidR="00ED5CC4" w:rsidRPr="00ED5CC4" w:rsidRDefault="00ED5CC4" w:rsidP="00ED5CC4">
            <w:pPr>
              <w:overflowPunct/>
              <w:autoSpaceDE/>
              <w:autoSpaceDN/>
              <w:adjustRightInd/>
              <w:spacing w:after="0"/>
              <w:jc w:val="center"/>
              <w:textAlignment w:val="auto"/>
              <w:rPr>
                <w:rFonts w:ascii="Calibri" w:hAnsi="Calibri" w:cs="Calibri"/>
                <w:b/>
                <w:bCs/>
                <w:color w:val="000000"/>
                <w:sz w:val="18"/>
                <w:szCs w:val="18"/>
                <w:lang w:val="en-US" w:eastAsia="en-US"/>
              </w:rPr>
            </w:pPr>
            <w:r w:rsidRPr="00ED5CC4">
              <w:rPr>
                <w:rFonts w:ascii="Calibri" w:hAnsi="Calibri" w:cs="Calibri"/>
                <w:b/>
                <w:bCs/>
                <w:color w:val="000000"/>
                <w:sz w:val="18"/>
                <w:szCs w:val="18"/>
                <w:lang w:val="en-US" w:eastAsia="en-US"/>
              </w:rPr>
              <w:t>13</w:t>
            </w:r>
          </w:p>
        </w:tc>
        <w:tc>
          <w:tcPr>
            <w:tcW w:w="420" w:type="dxa"/>
            <w:tcBorders>
              <w:top w:val="nil"/>
              <w:left w:val="nil"/>
              <w:bottom w:val="single" w:sz="4" w:space="0" w:color="auto"/>
              <w:right w:val="single" w:sz="4" w:space="0" w:color="auto"/>
            </w:tcBorders>
            <w:shd w:val="clear" w:color="000000" w:fill="92D050"/>
            <w:vAlign w:val="center"/>
            <w:hideMark/>
          </w:tcPr>
          <w:p w14:paraId="11D413C2" w14:textId="77777777" w:rsidR="00ED5CC4" w:rsidRPr="00ED5CC4" w:rsidRDefault="00ED5CC4" w:rsidP="00ED5CC4">
            <w:pPr>
              <w:overflowPunct/>
              <w:autoSpaceDE/>
              <w:autoSpaceDN/>
              <w:adjustRightInd/>
              <w:spacing w:after="0"/>
              <w:jc w:val="center"/>
              <w:textAlignment w:val="auto"/>
              <w:rPr>
                <w:rFonts w:ascii="Calibri" w:hAnsi="Calibri" w:cs="Calibri"/>
                <w:b/>
                <w:bCs/>
                <w:color w:val="000000"/>
                <w:sz w:val="18"/>
                <w:szCs w:val="18"/>
                <w:lang w:val="en-US" w:eastAsia="en-US"/>
              </w:rPr>
            </w:pPr>
            <w:r w:rsidRPr="00ED5CC4">
              <w:rPr>
                <w:rFonts w:ascii="Calibri" w:hAnsi="Calibri" w:cs="Calibri"/>
                <w:b/>
                <w:bCs/>
                <w:color w:val="000000"/>
                <w:sz w:val="18"/>
                <w:szCs w:val="18"/>
                <w:lang w:val="en-US" w:eastAsia="en-US"/>
              </w:rPr>
              <w:t>51</w:t>
            </w:r>
          </w:p>
        </w:tc>
        <w:tc>
          <w:tcPr>
            <w:tcW w:w="460" w:type="dxa"/>
            <w:tcBorders>
              <w:top w:val="nil"/>
              <w:left w:val="nil"/>
              <w:bottom w:val="single" w:sz="4" w:space="0" w:color="auto"/>
              <w:right w:val="single" w:sz="4" w:space="0" w:color="auto"/>
            </w:tcBorders>
            <w:shd w:val="clear" w:color="000000" w:fill="00B050"/>
            <w:vAlign w:val="center"/>
            <w:hideMark/>
          </w:tcPr>
          <w:p w14:paraId="1006C468" w14:textId="77777777" w:rsidR="00ED5CC4" w:rsidRPr="00ED5CC4" w:rsidRDefault="00ED5CC4" w:rsidP="00ED5CC4">
            <w:pPr>
              <w:overflowPunct/>
              <w:autoSpaceDE/>
              <w:autoSpaceDN/>
              <w:adjustRightInd/>
              <w:spacing w:after="0"/>
              <w:jc w:val="center"/>
              <w:textAlignment w:val="auto"/>
              <w:rPr>
                <w:rFonts w:ascii="Calibri" w:hAnsi="Calibri" w:cs="Calibri"/>
                <w:b/>
                <w:bCs/>
                <w:color w:val="000000"/>
                <w:sz w:val="18"/>
                <w:szCs w:val="18"/>
                <w:lang w:val="en-US" w:eastAsia="en-US"/>
              </w:rPr>
            </w:pPr>
            <w:r w:rsidRPr="00ED5CC4">
              <w:rPr>
                <w:rFonts w:ascii="Calibri" w:hAnsi="Calibri" w:cs="Calibri"/>
                <w:b/>
                <w:bCs/>
                <w:color w:val="000000"/>
                <w:sz w:val="18"/>
                <w:szCs w:val="18"/>
                <w:lang w:val="en-US" w:eastAsia="en-US"/>
              </w:rPr>
              <w:t>38</w:t>
            </w:r>
          </w:p>
        </w:tc>
        <w:tc>
          <w:tcPr>
            <w:tcW w:w="620" w:type="dxa"/>
            <w:tcBorders>
              <w:top w:val="nil"/>
              <w:left w:val="nil"/>
              <w:bottom w:val="single" w:sz="4" w:space="0" w:color="auto"/>
              <w:right w:val="single" w:sz="4" w:space="0" w:color="auto"/>
            </w:tcBorders>
            <w:shd w:val="clear" w:color="auto" w:fill="auto"/>
            <w:vAlign w:val="center"/>
            <w:hideMark/>
          </w:tcPr>
          <w:p w14:paraId="6EA995D5"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312.5</w:t>
            </w:r>
          </w:p>
        </w:tc>
        <w:tc>
          <w:tcPr>
            <w:tcW w:w="620" w:type="dxa"/>
            <w:tcBorders>
              <w:top w:val="nil"/>
              <w:left w:val="nil"/>
              <w:bottom w:val="single" w:sz="4" w:space="0" w:color="auto"/>
              <w:right w:val="single" w:sz="4" w:space="0" w:color="auto"/>
            </w:tcBorders>
            <w:shd w:val="clear" w:color="auto" w:fill="auto"/>
            <w:vAlign w:val="center"/>
            <w:hideMark/>
          </w:tcPr>
          <w:p w14:paraId="7AE5F43A"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312.5</w:t>
            </w:r>
          </w:p>
        </w:tc>
        <w:tc>
          <w:tcPr>
            <w:tcW w:w="660" w:type="dxa"/>
            <w:tcBorders>
              <w:top w:val="nil"/>
              <w:left w:val="nil"/>
              <w:bottom w:val="single" w:sz="4" w:space="0" w:color="auto"/>
              <w:right w:val="single" w:sz="4" w:space="0" w:color="auto"/>
            </w:tcBorders>
            <w:shd w:val="clear" w:color="auto" w:fill="auto"/>
            <w:vAlign w:val="center"/>
            <w:hideMark/>
          </w:tcPr>
          <w:p w14:paraId="62D74BFB"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9.82</w:t>
            </w:r>
          </w:p>
        </w:tc>
        <w:tc>
          <w:tcPr>
            <w:tcW w:w="720" w:type="dxa"/>
            <w:tcBorders>
              <w:top w:val="nil"/>
              <w:left w:val="nil"/>
              <w:bottom w:val="single" w:sz="4" w:space="0" w:color="auto"/>
              <w:right w:val="single" w:sz="4" w:space="0" w:color="auto"/>
            </w:tcBorders>
            <w:shd w:val="clear" w:color="auto" w:fill="auto"/>
            <w:vAlign w:val="center"/>
            <w:hideMark/>
          </w:tcPr>
          <w:p w14:paraId="788AC036"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7.48</w:t>
            </w:r>
          </w:p>
        </w:tc>
      </w:tr>
      <w:tr w:rsidR="00ED5CC4" w:rsidRPr="00ED5CC4" w14:paraId="08C648B7" w14:textId="77777777" w:rsidTr="00ED5CC4">
        <w:trPr>
          <w:trHeight w:val="240"/>
          <w:jc w:val="center"/>
        </w:trPr>
        <w:tc>
          <w:tcPr>
            <w:tcW w:w="519" w:type="dxa"/>
            <w:vMerge/>
            <w:tcBorders>
              <w:top w:val="nil"/>
              <w:left w:val="single" w:sz="4" w:space="0" w:color="auto"/>
              <w:bottom w:val="single" w:sz="4" w:space="0" w:color="auto"/>
              <w:right w:val="single" w:sz="4" w:space="0" w:color="auto"/>
            </w:tcBorders>
            <w:vAlign w:val="center"/>
            <w:hideMark/>
          </w:tcPr>
          <w:p w14:paraId="650226DD" w14:textId="77777777" w:rsidR="00ED5CC4" w:rsidRPr="00ED5CC4" w:rsidRDefault="00ED5CC4" w:rsidP="00ED5CC4">
            <w:pPr>
              <w:overflowPunct/>
              <w:autoSpaceDE/>
              <w:autoSpaceDN/>
              <w:adjustRightInd/>
              <w:spacing w:after="0"/>
              <w:textAlignment w:val="auto"/>
              <w:rPr>
                <w:rFonts w:ascii="Calibri" w:hAnsi="Calibri" w:cs="Calibri"/>
                <w:color w:val="000000"/>
                <w:sz w:val="18"/>
                <w:szCs w:val="18"/>
                <w:lang w:val="en-US" w:eastAsia="en-US"/>
              </w:rPr>
            </w:pPr>
          </w:p>
        </w:tc>
        <w:tc>
          <w:tcPr>
            <w:tcW w:w="432" w:type="dxa"/>
            <w:tcBorders>
              <w:top w:val="nil"/>
              <w:left w:val="nil"/>
              <w:bottom w:val="single" w:sz="4" w:space="0" w:color="auto"/>
              <w:right w:val="single" w:sz="4" w:space="0" w:color="auto"/>
            </w:tcBorders>
            <w:shd w:val="clear" w:color="000000" w:fill="548235"/>
            <w:noWrap/>
            <w:vAlign w:val="center"/>
            <w:hideMark/>
          </w:tcPr>
          <w:p w14:paraId="1E99D51D"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7</w:t>
            </w:r>
          </w:p>
        </w:tc>
        <w:tc>
          <w:tcPr>
            <w:tcW w:w="432" w:type="dxa"/>
            <w:tcBorders>
              <w:top w:val="nil"/>
              <w:left w:val="nil"/>
              <w:bottom w:val="single" w:sz="4" w:space="0" w:color="auto"/>
              <w:right w:val="single" w:sz="4" w:space="0" w:color="auto"/>
            </w:tcBorders>
            <w:shd w:val="clear" w:color="000000" w:fill="A9D08E"/>
            <w:noWrap/>
            <w:vAlign w:val="center"/>
            <w:hideMark/>
          </w:tcPr>
          <w:p w14:paraId="0E91716F"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14</w:t>
            </w:r>
          </w:p>
        </w:tc>
        <w:tc>
          <w:tcPr>
            <w:tcW w:w="497" w:type="dxa"/>
            <w:tcBorders>
              <w:top w:val="nil"/>
              <w:left w:val="nil"/>
              <w:bottom w:val="single" w:sz="4" w:space="0" w:color="auto"/>
              <w:right w:val="single" w:sz="4" w:space="0" w:color="auto"/>
            </w:tcBorders>
            <w:shd w:val="clear" w:color="000000" w:fill="A9D08E"/>
            <w:noWrap/>
            <w:vAlign w:val="center"/>
            <w:hideMark/>
          </w:tcPr>
          <w:p w14:paraId="7CB97621"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10.5</w:t>
            </w:r>
          </w:p>
        </w:tc>
        <w:tc>
          <w:tcPr>
            <w:tcW w:w="641" w:type="dxa"/>
            <w:tcBorders>
              <w:top w:val="nil"/>
              <w:left w:val="nil"/>
              <w:bottom w:val="single" w:sz="4" w:space="0" w:color="auto"/>
              <w:right w:val="single" w:sz="4" w:space="0" w:color="auto"/>
            </w:tcBorders>
            <w:shd w:val="clear" w:color="auto" w:fill="auto"/>
            <w:noWrap/>
            <w:vAlign w:val="center"/>
            <w:hideMark/>
          </w:tcPr>
          <w:p w14:paraId="71F5C2C7"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342.5</w:t>
            </w:r>
          </w:p>
        </w:tc>
        <w:tc>
          <w:tcPr>
            <w:tcW w:w="639" w:type="dxa"/>
            <w:tcBorders>
              <w:top w:val="nil"/>
              <w:left w:val="nil"/>
              <w:bottom w:val="single" w:sz="4" w:space="0" w:color="auto"/>
              <w:right w:val="single" w:sz="4" w:space="0" w:color="auto"/>
            </w:tcBorders>
            <w:shd w:val="clear" w:color="auto" w:fill="auto"/>
            <w:noWrap/>
            <w:vAlign w:val="center"/>
            <w:hideMark/>
          </w:tcPr>
          <w:p w14:paraId="7C3E309E"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342.5</w:t>
            </w:r>
          </w:p>
        </w:tc>
        <w:tc>
          <w:tcPr>
            <w:tcW w:w="460" w:type="dxa"/>
            <w:tcBorders>
              <w:top w:val="nil"/>
              <w:left w:val="nil"/>
              <w:bottom w:val="single" w:sz="4" w:space="0" w:color="auto"/>
              <w:right w:val="single" w:sz="4" w:space="0" w:color="auto"/>
            </w:tcBorders>
            <w:shd w:val="clear" w:color="000000" w:fill="B4C6E7"/>
            <w:vAlign w:val="center"/>
            <w:hideMark/>
          </w:tcPr>
          <w:p w14:paraId="78DC25FD"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35</w:t>
            </w:r>
          </w:p>
        </w:tc>
        <w:tc>
          <w:tcPr>
            <w:tcW w:w="640" w:type="dxa"/>
            <w:tcBorders>
              <w:top w:val="nil"/>
              <w:left w:val="nil"/>
              <w:bottom w:val="single" w:sz="4" w:space="0" w:color="auto"/>
              <w:right w:val="single" w:sz="4" w:space="0" w:color="auto"/>
            </w:tcBorders>
            <w:shd w:val="clear" w:color="000000" w:fill="DDEBF7"/>
            <w:vAlign w:val="center"/>
            <w:hideMark/>
          </w:tcPr>
          <w:p w14:paraId="30AA6035"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18</w:t>
            </w:r>
          </w:p>
        </w:tc>
        <w:tc>
          <w:tcPr>
            <w:tcW w:w="420" w:type="dxa"/>
            <w:tcBorders>
              <w:top w:val="nil"/>
              <w:left w:val="nil"/>
              <w:bottom w:val="single" w:sz="4" w:space="0" w:color="auto"/>
              <w:right w:val="single" w:sz="4" w:space="0" w:color="auto"/>
            </w:tcBorders>
            <w:shd w:val="clear" w:color="000000" w:fill="00B050"/>
            <w:vAlign w:val="center"/>
            <w:hideMark/>
          </w:tcPr>
          <w:p w14:paraId="1339B07E"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71</w:t>
            </w:r>
          </w:p>
        </w:tc>
        <w:tc>
          <w:tcPr>
            <w:tcW w:w="460" w:type="dxa"/>
            <w:tcBorders>
              <w:top w:val="nil"/>
              <w:left w:val="nil"/>
              <w:bottom w:val="single" w:sz="4" w:space="0" w:color="auto"/>
              <w:right w:val="single" w:sz="4" w:space="0" w:color="auto"/>
            </w:tcBorders>
            <w:shd w:val="clear" w:color="000000" w:fill="00B050"/>
            <w:vAlign w:val="center"/>
            <w:hideMark/>
          </w:tcPr>
          <w:p w14:paraId="27348015"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53</w:t>
            </w:r>
          </w:p>
        </w:tc>
        <w:tc>
          <w:tcPr>
            <w:tcW w:w="620" w:type="dxa"/>
            <w:tcBorders>
              <w:top w:val="nil"/>
              <w:left w:val="nil"/>
              <w:bottom w:val="single" w:sz="4" w:space="0" w:color="auto"/>
              <w:right w:val="single" w:sz="4" w:space="0" w:color="auto"/>
            </w:tcBorders>
            <w:shd w:val="clear" w:color="auto" w:fill="auto"/>
            <w:vAlign w:val="center"/>
            <w:hideMark/>
          </w:tcPr>
          <w:p w14:paraId="242262D9"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382.5</w:t>
            </w:r>
          </w:p>
        </w:tc>
        <w:tc>
          <w:tcPr>
            <w:tcW w:w="620" w:type="dxa"/>
            <w:tcBorders>
              <w:top w:val="nil"/>
              <w:left w:val="nil"/>
              <w:bottom w:val="single" w:sz="4" w:space="0" w:color="auto"/>
              <w:right w:val="single" w:sz="4" w:space="0" w:color="auto"/>
            </w:tcBorders>
            <w:shd w:val="clear" w:color="auto" w:fill="auto"/>
            <w:vAlign w:val="center"/>
            <w:hideMark/>
          </w:tcPr>
          <w:p w14:paraId="5636E1AB"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382.5</w:t>
            </w:r>
          </w:p>
        </w:tc>
        <w:tc>
          <w:tcPr>
            <w:tcW w:w="660" w:type="dxa"/>
            <w:tcBorders>
              <w:top w:val="nil"/>
              <w:left w:val="nil"/>
              <w:bottom w:val="single" w:sz="4" w:space="0" w:color="auto"/>
              <w:right w:val="single" w:sz="4" w:space="0" w:color="auto"/>
            </w:tcBorders>
            <w:shd w:val="clear" w:color="auto" w:fill="auto"/>
            <w:vAlign w:val="center"/>
            <w:hideMark/>
          </w:tcPr>
          <w:p w14:paraId="127C37DD"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13.56</w:t>
            </w:r>
          </w:p>
        </w:tc>
        <w:tc>
          <w:tcPr>
            <w:tcW w:w="720" w:type="dxa"/>
            <w:tcBorders>
              <w:top w:val="nil"/>
              <w:left w:val="nil"/>
              <w:bottom w:val="single" w:sz="4" w:space="0" w:color="auto"/>
              <w:right w:val="single" w:sz="4" w:space="0" w:color="auto"/>
            </w:tcBorders>
            <w:shd w:val="clear" w:color="auto" w:fill="auto"/>
            <w:vAlign w:val="center"/>
            <w:hideMark/>
          </w:tcPr>
          <w:p w14:paraId="4277CB7D"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10.32</w:t>
            </w:r>
          </w:p>
        </w:tc>
      </w:tr>
      <w:tr w:rsidR="00ED5CC4" w:rsidRPr="00ED5CC4" w14:paraId="3E20933F" w14:textId="77777777" w:rsidTr="00ED5CC4">
        <w:trPr>
          <w:trHeight w:val="240"/>
          <w:jc w:val="center"/>
        </w:trPr>
        <w:tc>
          <w:tcPr>
            <w:tcW w:w="519" w:type="dxa"/>
            <w:vMerge/>
            <w:tcBorders>
              <w:top w:val="nil"/>
              <w:left w:val="single" w:sz="4" w:space="0" w:color="auto"/>
              <w:bottom w:val="single" w:sz="4" w:space="0" w:color="auto"/>
              <w:right w:val="single" w:sz="4" w:space="0" w:color="auto"/>
            </w:tcBorders>
            <w:vAlign w:val="center"/>
            <w:hideMark/>
          </w:tcPr>
          <w:p w14:paraId="39E040D7" w14:textId="77777777" w:rsidR="00ED5CC4" w:rsidRPr="00ED5CC4" w:rsidRDefault="00ED5CC4" w:rsidP="00ED5CC4">
            <w:pPr>
              <w:overflowPunct/>
              <w:autoSpaceDE/>
              <w:autoSpaceDN/>
              <w:adjustRightInd/>
              <w:spacing w:after="0"/>
              <w:textAlignment w:val="auto"/>
              <w:rPr>
                <w:rFonts w:ascii="Calibri" w:hAnsi="Calibri" w:cs="Calibri"/>
                <w:color w:val="000000"/>
                <w:sz w:val="18"/>
                <w:szCs w:val="18"/>
                <w:lang w:val="en-US" w:eastAsia="en-US"/>
              </w:rPr>
            </w:pPr>
          </w:p>
        </w:tc>
        <w:tc>
          <w:tcPr>
            <w:tcW w:w="432" w:type="dxa"/>
            <w:tcBorders>
              <w:top w:val="nil"/>
              <w:left w:val="nil"/>
              <w:bottom w:val="single" w:sz="4" w:space="0" w:color="auto"/>
              <w:right w:val="single" w:sz="4" w:space="0" w:color="auto"/>
            </w:tcBorders>
            <w:shd w:val="clear" w:color="000000" w:fill="70AD47"/>
            <w:noWrap/>
            <w:vAlign w:val="center"/>
            <w:hideMark/>
          </w:tcPr>
          <w:p w14:paraId="6B243FF6"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10</w:t>
            </w:r>
          </w:p>
        </w:tc>
        <w:tc>
          <w:tcPr>
            <w:tcW w:w="432" w:type="dxa"/>
            <w:tcBorders>
              <w:top w:val="nil"/>
              <w:left w:val="nil"/>
              <w:bottom w:val="single" w:sz="4" w:space="0" w:color="auto"/>
              <w:right w:val="single" w:sz="4" w:space="0" w:color="auto"/>
            </w:tcBorders>
            <w:shd w:val="clear" w:color="000000" w:fill="C6E0B4"/>
            <w:noWrap/>
            <w:vAlign w:val="center"/>
            <w:hideMark/>
          </w:tcPr>
          <w:p w14:paraId="68B6A19F"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20</w:t>
            </w:r>
          </w:p>
        </w:tc>
        <w:tc>
          <w:tcPr>
            <w:tcW w:w="497" w:type="dxa"/>
            <w:tcBorders>
              <w:top w:val="nil"/>
              <w:left w:val="nil"/>
              <w:bottom w:val="single" w:sz="4" w:space="0" w:color="auto"/>
              <w:right w:val="single" w:sz="4" w:space="0" w:color="auto"/>
            </w:tcBorders>
            <w:shd w:val="clear" w:color="000000" w:fill="A9D08E"/>
            <w:noWrap/>
            <w:vAlign w:val="center"/>
            <w:hideMark/>
          </w:tcPr>
          <w:p w14:paraId="41634846"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15</w:t>
            </w:r>
          </w:p>
        </w:tc>
        <w:tc>
          <w:tcPr>
            <w:tcW w:w="641" w:type="dxa"/>
            <w:tcBorders>
              <w:top w:val="nil"/>
              <w:left w:val="nil"/>
              <w:bottom w:val="single" w:sz="4" w:space="0" w:color="auto"/>
              <w:right w:val="single" w:sz="4" w:space="0" w:color="auto"/>
            </w:tcBorders>
            <w:shd w:val="clear" w:color="auto" w:fill="auto"/>
            <w:noWrap/>
            <w:vAlign w:val="center"/>
            <w:hideMark/>
          </w:tcPr>
          <w:p w14:paraId="18D87468"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312.5</w:t>
            </w:r>
          </w:p>
        </w:tc>
        <w:tc>
          <w:tcPr>
            <w:tcW w:w="639" w:type="dxa"/>
            <w:tcBorders>
              <w:top w:val="nil"/>
              <w:left w:val="nil"/>
              <w:bottom w:val="single" w:sz="4" w:space="0" w:color="auto"/>
              <w:right w:val="single" w:sz="4" w:space="0" w:color="auto"/>
            </w:tcBorders>
            <w:shd w:val="clear" w:color="auto" w:fill="auto"/>
            <w:noWrap/>
            <w:vAlign w:val="center"/>
            <w:hideMark/>
          </w:tcPr>
          <w:p w14:paraId="42F67E7E"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382.5</w:t>
            </w:r>
          </w:p>
        </w:tc>
        <w:tc>
          <w:tcPr>
            <w:tcW w:w="460" w:type="dxa"/>
            <w:tcBorders>
              <w:top w:val="nil"/>
              <w:left w:val="nil"/>
              <w:bottom w:val="single" w:sz="4" w:space="0" w:color="auto"/>
              <w:right w:val="single" w:sz="4" w:space="0" w:color="auto"/>
            </w:tcBorders>
            <w:shd w:val="clear" w:color="000000" w:fill="B4C6E7"/>
            <w:vAlign w:val="center"/>
            <w:hideMark/>
          </w:tcPr>
          <w:p w14:paraId="055F70E8"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52</w:t>
            </w:r>
          </w:p>
        </w:tc>
        <w:tc>
          <w:tcPr>
            <w:tcW w:w="640" w:type="dxa"/>
            <w:tcBorders>
              <w:top w:val="nil"/>
              <w:left w:val="nil"/>
              <w:bottom w:val="single" w:sz="4" w:space="0" w:color="auto"/>
              <w:right w:val="single" w:sz="4" w:space="0" w:color="auto"/>
            </w:tcBorders>
            <w:shd w:val="clear" w:color="000000" w:fill="DDEBF7"/>
            <w:vAlign w:val="center"/>
            <w:hideMark/>
          </w:tcPr>
          <w:p w14:paraId="397B328C"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26</w:t>
            </w:r>
          </w:p>
        </w:tc>
        <w:tc>
          <w:tcPr>
            <w:tcW w:w="420" w:type="dxa"/>
            <w:tcBorders>
              <w:top w:val="nil"/>
              <w:left w:val="nil"/>
              <w:bottom w:val="single" w:sz="4" w:space="0" w:color="auto"/>
              <w:right w:val="single" w:sz="4" w:space="0" w:color="auto"/>
            </w:tcBorders>
            <w:shd w:val="clear" w:color="000000" w:fill="00B050"/>
            <w:vAlign w:val="center"/>
            <w:hideMark/>
          </w:tcPr>
          <w:p w14:paraId="464EFC87"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104</w:t>
            </w:r>
          </w:p>
        </w:tc>
        <w:tc>
          <w:tcPr>
            <w:tcW w:w="460" w:type="dxa"/>
            <w:tcBorders>
              <w:top w:val="nil"/>
              <w:left w:val="nil"/>
              <w:bottom w:val="single" w:sz="4" w:space="0" w:color="auto"/>
              <w:right w:val="single" w:sz="4" w:space="0" w:color="auto"/>
            </w:tcBorders>
            <w:shd w:val="clear" w:color="000000" w:fill="92D050"/>
            <w:vAlign w:val="center"/>
            <w:hideMark/>
          </w:tcPr>
          <w:p w14:paraId="5F3A8E73"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78</w:t>
            </w:r>
          </w:p>
        </w:tc>
        <w:tc>
          <w:tcPr>
            <w:tcW w:w="620" w:type="dxa"/>
            <w:tcBorders>
              <w:top w:val="nil"/>
              <w:left w:val="nil"/>
              <w:bottom w:val="single" w:sz="4" w:space="0" w:color="auto"/>
              <w:right w:val="single" w:sz="4" w:space="0" w:color="auto"/>
            </w:tcBorders>
            <w:shd w:val="clear" w:color="auto" w:fill="auto"/>
            <w:vAlign w:val="center"/>
            <w:hideMark/>
          </w:tcPr>
          <w:p w14:paraId="6477AF96"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452.5</w:t>
            </w:r>
          </w:p>
        </w:tc>
        <w:tc>
          <w:tcPr>
            <w:tcW w:w="620" w:type="dxa"/>
            <w:tcBorders>
              <w:top w:val="nil"/>
              <w:left w:val="nil"/>
              <w:bottom w:val="single" w:sz="4" w:space="0" w:color="auto"/>
              <w:right w:val="single" w:sz="4" w:space="0" w:color="auto"/>
            </w:tcBorders>
            <w:shd w:val="clear" w:color="auto" w:fill="auto"/>
            <w:vAlign w:val="center"/>
            <w:hideMark/>
          </w:tcPr>
          <w:p w14:paraId="5E97F737"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382.5</w:t>
            </w:r>
          </w:p>
        </w:tc>
        <w:tc>
          <w:tcPr>
            <w:tcW w:w="660" w:type="dxa"/>
            <w:tcBorders>
              <w:top w:val="nil"/>
              <w:left w:val="nil"/>
              <w:bottom w:val="single" w:sz="4" w:space="0" w:color="auto"/>
              <w:right w:val="single" w:sz="4" w:space="0" w:color="auto"/>
            </w:tcBorders>
            <w:shd w:val="clear" w:color="auto" w:fill="auto"/>
            <w:vAlign w:val="center"/>
            <w:hideMark/>
          </w:tcPr>
          <w:p w14:paraId="06F3DE23"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19.64</w:t>
            </w:r>
          </w:p>
        </w:tc>
        <w:tc>
          <w:tcPr>
            <w:tcW w:w="720" w:type="dxa"/>
            <w:tcBorders>
              <w:top w:val="nil"/>
              <w:left w:val="nil"/>
              <w:bottom w:val="single" w:sz="4" w:space="0" w:color="auto"/>
              <w:right w:val="single" w:sz="4" w:space="0" w:color="auto"/>
            </w:tcBorders>
            <w:shd w:val="clear" w:color="auto" w:fill="auto"/>
            <w:vAlign w:val="center"/>
            <w:hideMark/>
          </w:tcPr>
          <w:p w14:paraId="549DA06F"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14.82</w:t>
            </w:r>
          </w:p>
        </w:tc>
      </w:tr>
      <w:tr w:rsidR="00ED5CC4" w:rsidRPr="00ED5CC4" w14:paraId="724673EF" w14:textId="77777777" w:rsidTr="00ED5CC4">
        <w:trPr>
          <w:trHeight w:val="240"/>
          <w:jc w:val="center"/>
        </w:trPr>
        <w:tc>
          <w:tcPr>
            <w:tcW w:w="519" w:type="dxa"/>
            <w:vMerge/>
            <w:tcBorders>
              <w:top w:val="nil"/>
              <w:left w:val="single" w:sz="4" w:space="0" w:color="auto"/>
              <w:bottom w:val="single" w:sz="4" w:space="0" w:color="auto"/>
              <w:right w:val="single" w:sz="4" w:space="0" w:color="auto"/>
            </w:tcBorders>
            <w:vAlign w:val="center"/>
            <w:hideMark/>
          </w:tcPr>
          <w:p w14:paraId="02BDB853" w14:textId="77777777" w:rsidR="00ED5CC4" w:rsidRPr="00ED5CC4" w:rsidRDefault="00ED5CC4" w:rsidP="00ED5CC4">
            <w:pPr>
              <w:overflowPunct/>
              <w:autoSpaceDE/>
              <w:autoSpaceDN/>
              <w:adjustRightInd/>
              <w:spacing w:after="0"/>
              <w:textAlignment w:val="auto"/>
              <w:rPr>
                <w:rFonts w:ascii="Calibri" w:hAnsi="Calibri" w:cs="Calibri"/>
                <w:color w:val="000000"/>
                <w:sz w:val="18"/>
                <w:szCs w:val="18"/>
                <w:lang w:val="en-US" w:eastAsia="en-US"/>
              </w:rPr>
            </w:pPr>
          </w:p>
        </w:tc>
        <w:tc>
          <w:tcPr>
            <w:tcW w:w="432" w:type="dxa"/>
            <w:tcBorders>
              <w:top w:val="nil"/>
              <w:left w:val="nil"/>
              <w:bottom w:val="single" w:sz="4" w:space="0" w:color="auto"/>
              <w:right w:val="single" w:sz="4" w:space="0" w:color="auto"/>
            </w:tcBorders>
            <w:shd w:val="clear" w:color="000000" w:fill="A9D08E"/>
            <w:noWrap/>
            <w:vAlign w:val="center"/>
            <w:hideMark/>
          </w:tcPr>
          <w:p w14:paraId="4354F2DD"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15</w:t>
            </w:r>
          </w:p>
        </w:tc>
        <w:tc>
          <w:tcPr>
            <w:tcW w:w="432" w:type="dxa"/>
            <w:tcBorders>
              <w:top w:val="nil"/>
              <w:left w:val="nil"/>
              <w:bottom w:val="single" w:sz="4" w:space="0" w:color="auto"/>
              <w:right w:val="single" w:sz="4" w:space="0" w:color="auto"/>
            </w:tcBorders>
            <w:shd w:val="clear" w:color="000000" w:fill="FFE699"/>
            <w:noWrap/>
            <w:vAlign w:val="center"/>
            <w:hideMark/>
          </w:tcPr>
          <w:p w14:paraId="2CF5D04C"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30</w:t>
            </w:r>
          </w:p>
        </w:tc>
        <w:tc>
          <w:tcPr>
            <w:tcW w:w="497" w:type="dxa"/>
            <w:tcBorders>
              <w:top w:val="nil"/>
              <w:left w:val="nil"/>
              <w:bottom w:val="single" w:sz="4" w:space="0" w:color="auto"/>
              <w:right w:val="single" w:sz="4" w:space="0" w:color="auto"/>
            </w:tcBorders>
            <w:shd w:val="clear" w:color="000000" w:fill="E2EFDA"/>
            <w:noWrap/>
            <w:vAlign w:val="center"/>
            <w:hideMark/>
          </w:tcPr>
          <w:p w14:paraId="6D44AD14"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22.5</w:t>
            </w:r>
          </w:p>
        </w:tc>
        <w:tc>
          <w:tcPr>
            <w:tcW w:w="641" w:type="dxa"/>
            <w:tcBorders>
              <w:top w:val="nil"/>
              <w:left w:val="nil"/>
              <w:bottom w:val="single" w:sz="4" w:space="0" w:color="auto"/>
              <w:right w:val="single" w:sz="4" w:space="0" w:color="auto"/>
            </w:tcBorders>
            <w:shd w:val="clear" w:color="auto" w:fill="auto"/>
            <w:noWrap/>
            <w:vAlign w:val="center"/>
            <w:hideMark/>
          </w:tcPr>
          <w:p w14:paraId="7EB0BE51"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382.5</w:t>
            </w:r>
          </w:p>
        </w:tc>
        <w:tc>
          <w:tcPr>
            <w:tcW w:w="639" w:type="dxa"/>
            <w:tcBorders>
              <w:top w:val="nil"/>
              <w:left w:val="nil"/>
              <w:bottom w:val="single" w:sz="4" w:space="0" w:color="auto"/>
              <w:right w:val="single" w:sz="4" w:space="0" w:color="auto"/>
            </w:tcBorders>
            <w:shd w:val="clear" w:color="auto" w:fill="auto"/>
            <w:noWrap/>
            <w:vAlign w:val="center"/>
            <w:hideMark/>
          </w:tcPr>
          <w:p w14:paraId="5D82128C"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452.5</w:t>
            </w:r>
          </w:p>
        </w:tc>
        <w:tc>
          <w:tcPr>
            <w:tcW w:w="460" w:type="dxa"/>
            <w:tcBorders>
              <w:top w:val="nil"/>
              <w:left w:val="nil"/>
              <w:bottom w:val="single" w:sz="4" w:space="0" w:color="auto"/>
              <w:right w:val="single" w:sz="4" w:space="0" w:color="auto"/>
            </w:tcBorders>
            <w:shd w:val="clear" w:color="000000" w:fill="B4C6E7"/>
            <w:vAlign w:val="center"/>
            <w:hideMark/>
          </w:tcPr>
          <w:p w14:paraId="620E7F11"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79</w:t>
            </w:r>
          </w:p>
        </w:tc>
        <w:tc>
          <w:tcPr>
            <w:tcW w:w="640" w:type="dxa"/>
            <w:tcBorders>
              <w:top w:val="nil"/>
              <w:left w:val="nil"/>
              <w:bottom w:val="single" w:sz="4" w:space="0" w:color="auto"/>
              <w:right w:val="single" w:sz="4" w:space="0" w:color="auto"/>
            </w:tcBorders>
            <w:shd w:val="clear" w:color="000000" w:fill="DDEBF7"/>
            <w:vAlign w:val="center"/>
            <w:hideMark/>
          </w:tcPr>
          <w:p w14:paraId="612D92D4"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40</w:t>
            </w:r>
          </w:p>
        </w:tc>
        <w:tc>
          <w:tcPr>
            <w:tcW w:w="420" w:type="dxa"/>
            <w:tcBorders>
              <w:top w:val="nil"/>
              <w:left w:val="nil"/>
              <w:bottom w:val="single" w:sz="4" w:space="0" w:color="auto"/>
              <w:right w:val="single" w:sz="4" w:space="0" w:color="auto"/>
            </w:tcBorders>
            <w:shd w:val="clear" w:color="000000" w:fill="92D050"/>
            <w:vAlign w:val="center"/>
            <w:hideMark/>
          </w:tcPr>
          <w:p w14:paraId="2C66BF2F"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159</w:t>
            </w:r>
          </w:p>
        </w:tc>
        <w:tc>
          <w:tcPr>
            <w:tcW w:w="460" w:type="dxa"/>
            <w:tcBorders>
              <w:top w:val="nil"/>
              <w:left w:val="nil"/>
              <w:bottom w:val="single" w:sz="4" w:space="0" w:color="auto"/>
              <w:right w:val="single" w:sz="4" w:space="0" w:color="auto"/>
            </w:tcBorders>
            <w:shd w:val="clear" w:color="000000" w:fill="00B050"/>
            <w:vAlign w:val="center"/>
            <w:hideMark/>
          </w:tcPr>
          <w:p w14:paraId="7CC144B0"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119</w:t>
            </w:r>
          </w:p>
        </w:tc>
        <w:tc>
          <w:tcPr>
            <w:tcW w:w="620" w:type="dxa"/>
            <w:tcBorders>
              <w:top w:val="nil"/>
              <w:left w:val="nil"/>
              <w:bottom w:val="single" w:sz="4" w:space="0" w:color="auto"/>
              <w:right w:val="single" w:sz="4" w:space="0" w:color="auto"/>
            </w:tcBorders>
            <w:shd w:val="clear" w:color="auto" w:fill="auto"/>
            <w:vAlign w:val="center"/>
            <w:hideMark/>
          </w:tcPr>
          <w:p w14:paraId="1D75133E"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592.5</w:t>
            </w:r>
          </w:p>
        </w:tc>
        <w:tc>
          <w:tcPr>
            <w:tcW w:w="620" w:type="dxa"/>
            <w:tcBorders>
              <w:top w:val="nil"/>
              <w:left w:val="nil"/>
              <w:bottom w:val="single" w:sz="4" w:space="0" w:color="auto"/>
              <w:right w:val="single" w:sz="4" w:space="0" w:color="auto"/>
            </w:tcBorders>
            <w:shd w:val="clear" w:color="auto" w:fill="auto"/>
            <w:vAlign w:val="center"/>
            <w:hideMark/>
          </w:tcPr>
          <w:p w14:paraId="2F6FFC61"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522.5</w:t>
            </w:r>
          </w:p>
        </w:tc>
        <w:tc>
          <w:tcPr>
            <w:tcW w:w="660" w:type="dxa"/>
            <w:tcBorders>
              <w:top w:val="nil"/>
              <w:left w:val="nil"/>
              <w:bottom w:val="single" w:sz="4" w:space="0" w:color="auto"/>
              <w:right w:val="single" w:sz="4" w:space="0" w:color="auto"/>
            </w:tcBorders>
            <w:shd w:val="clear" w:color="auto" w:fill="auto"/>
            <w:vAlign w:val="center"/>
            <w:hideMark/>
          </w:tcPr>
          <w:p w14:paraId="7631DA52"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29.82</w:t>
            </w:r>
          </w:p>
        </w:tc>
        <w:tc>
          <w:tcPr>
            <w:tcW w:w="720" w:type="dxa"/>
            <w:tcBorders>
              <w:top w:val="nil"/>
              <w:left w:val="nil"/>
              <w:bottom w:val="single" w:sz="4" w:space="0" w:color="auto"/>
              <w:right w:val="single" w:sz="4" w:space="0" w:color="auto"/>
            </w:tcBorders>
            <w:shd w:val="clear" w:color="auto" w:fill="auto"/>
            <w:vAlign w:val="center"/>
            <w:hideMark/>
          </w:tcPr>
          <w:p w14:paraId="719167C2"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22.48</w:t>
            </w:r>
          </w:p>
        </w:tc>
      </w:tr>
      <w:tr w:rsidR="00ED5CC4" w:rsidRPr="00ED5CC4" w14:paraId="63CEAECF" w14:textId="77777777" w:rsidTr="00ED5CC4">
        <w:trPr>
          <w:trHeight w:val="240"/>
          <w:jc w:val="center"/>
        </w:trPr>
        <w:tc>
          <w:tcPr>
            <w:tcW w:w="519" w:type="dxa"/>
            <w:vMerge/>
            <w:tcBorders>
              <w:top w:val="nil"/>
              <w:left w:val="single" w:sz="4" w:space="0" w:color="auto"/>
              <w:bottom w:val="single" w:sz="4" w:space="0" w:color="auto"/>
              <w:right w:val="single" w:sz="4" w:space="0" w:color="auto"/>
            </w:tcBorders>
            <w:vAlign w:val="center"/>
            <w:hideMark/>
          </w:tcPr>
          <w:p w14:paraId="13DA9EC6" w14:textId="77777777" w:rsidR="00ED5CC4" w:rsidRPr="00ED5CC4" w:rsidRDefault="00ED5CC4" w:rsidP="00ED5CC4">
            <w:pPr>
              <w:overflowPunct/>
              <w:autoSpaceDE/>
              <w:autoSpaceDN/>
              <w:adjustRightInd/>
              <w:spacing w:after="0"/>
              <w:textAlignment w:val="auto"/>
              <w:rPr>
                <w:rFonts w:ascii="Calibri" w:hAnsi="Calibri" w:cs="Calibri"/>
                <w:color w:val="000000"/>
                <w:sz w:val="18"/>
                <w:szCs w:val="18"/>
                <w:lang w:val="en-US" w:eastAsia="en-US"/>
              </w:rPr>
            </w:pPr>
          </w:p>
        </w:tc>
        <w:tc>
          <w:tcPr>
            <w:tcW w:w="432" w:type="dxa"/>
            <w:tcBorders>
              <w:top w:val="nil"/>
              <w:left w:val="nil"/>
              <w:bottom w:val="single" w:sz="4" w:space="0" w:color="auto"/>
              <w:right w:val="single" w:sz="4" w:space="0" w:color="auto"/>
            </w:tcBorders>
            <w:shd w:val="clear" w:color="000000" w:fill="C6E0B4"/>
            <w:noWrap/>
            <w:vAlign w:val="center"/>
            <w:hideMark/>
          </w:tcPr>
          <w:p w14:paraId="4509CAA7"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20</w:t>
            </w:r>
          </w:p>
        </w:tc>
        <w:tc>
          <w:tcPr>
            <w:tcW w:w="432" w:type="dxa"/>
            <w:tcBorders>
              <w:top w:val="nil"/>
              <w:left w:val="nil"/>
              <w:bottom w:val="single" w:sz="4" w:space="0" w:color="auto"/>
              <w:right w:val="single" w:sz="4" w:space="0" w:color="auto"/>
            </w:tcBorders>
            <w:shd w:val="clear" w:color="000000" w:fill="FFC000"/>
            <w:noWrap/>
            <w:vAlign w:val="center"/>
            <w:hideMark/>
          </w:tcPr>
          <w:p w14:paraId="23B02F67"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40</w:t>
            </w:r>
          </w:p>
        </w:tc>
        <w:tc>
          <w:tcPr>
            <w:tcW w:w="497" w:type="dxa"/>
            <w:tcBorders>
              <w:top w:val="nil"/>
              <w:left w:val="nil"/>
              <w:bottom w:val="single" w:sz="4" w:space="0" w:color="auto"/>
              <w:right w:val="single" w:sz="4" w:space="0" w:color="auto"/>
            </w:tcBorders>
            <w:shd w:val="clear" w:color="000000" w:fill="FFE699"/>
            <w:noWrap/>
            <w:vAlign w:val="center"/>
            <w:hideMark/>
          </w:tcPr>
          <w:p w14:paraId="391747E1"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30</w:t>
            </w:r>
          </w:p>
        </w:tc>
        <w:tc>
          <w:tcPr>
            <w:tcW w:w="641" w:type="dxa"/>
            <w:tcBorders>
              <w:top w:val="nil"/>
              <w:left w:val="nil"/>
              <w:bottom w:val="single" w:sz="4" w:space="0" w:color="auto"/>
              <w:right w:val="single" w:sz="4" w:space="0" w:color="auto"/>
            </w:tcBorders>
            <w:shd w:val="clear" w:color="auto" w:fill="auto"/>
            <w:noWrap/>
            <w:vAlign w:val="center"/>
            <w:hideMark/>
          </w:tcPr>
          <w:p w14:paraId="4D2D44D3"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452.5</w:t>
            </w:r>
          </w:p>
        </w:tc>
        <w:tc>
          <w:tcPr>
            <w:tcW w:w="639" w:type="dxa"/>
            <w:tcBorders>
              <w:top w:val="nil"/>
              <w:left w:val="nil"/>
              <w:bottom w:val="single" w:sz="4" w:space="0" w:color="auto"/>
              <w:right w:val="single" w:sz="4" w:space="0" w:color="auto"/>
            </w:tcBorders>
            <w:shd w:val="clear" w:color="auto" w:fill="auto"/>
            <w:noWrap/>
            <w:vAlign w:val="center"/>
            <w:hideMark/>
          </w:tcPr>
          <w:p w14:paraId="5CB6346F"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522.5</w:t>
            </w:r>
          </w:p>
        </w:tc>
        <w:tc>
          <w:tcPr>
            <w:tcW w:w="460" w:type="dxa"/>
            <w:tcBorders>
              <w:top w:val="nil"/>
              <w:left w:val="nil"/>
              <w:bottom w:val="single" w:sz="4" w:space="0" w:color="auto"/>
              <w:right w:val="single" w:sz="4" w:space="0" w:color="auto"/>
            </w:tcBorders>
            <w:shd w:val="clear" w:color="000000" w:fill="B4C6E7"/>
            <w:vAlign w:val="center"/>
            <w:hideMark/>
          </w:tcPr>
          <w:p w14:paraId="550661BC"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106</w:t>
            </w:r>
          </w:p>
        </w:tc>
        <w:tc>
          <w:tcPr>
            <w:tcW w:w="640" w:type="dxa"/>
            <w:tcBorders>
              <w:top w:val="nil"/>
              <w:left w:val="nil"/>
              <w:bottom w:val="single" w:sz="4" w:space="0" w:color="auto"/>
              <w:right w:val="single" w:sz="4" w:space="0" w:color="auto"/>
            </w:tcBorders>
            <w:shd w:val="clear" w:color="000000" w:fill="DDEBF7"/>
            <w:vAlign w:val="center"/>
            <w:hideMark/>
          </w:tcPr>
          <w:p w14:paraId="70E05A36"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53</w:t>
            </w:r>
          </w:p>
        </w:tc>
        <w:tc>
          <w:tcPr>
            <w:tcW w:w="420" w:type="dxa"/>
            <w:tcBorders>
              <w:top w:val="nil"/>
              <w:left w:val="nil"/>
              <w:bottom w:val="single" w:sz="4" w:space="0" w:color="auto"/>
              <w:right w:val="single" w:sz="4" w:space="0" w:color="auto"/>
            </w:tcBorders>
            <w:shd w:val="clear" w:color="000000" w:fill="00B050"/>
            <w:vAlign w:val="center"/>
            <w:hideMark/>
          </w:tcPr>
          <w:p w14:paraId="69F1BF8D"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212</w:t>
            </w:r>
          </w:p>
        </w:tc>
        <w:tc>
          <w:tcPr>
            <w:tcW w:w="460" w:type="dxa"/>
            <w:tcBorders>
              <w:top w:val="nil"/>
              <w:left w:val="nil"/>
              <w:bottom w:val="single" w:sz="4" w:space="0" w:color="auto"/>
              <w:right w:val="single" w:sz="4" w:space="0" w:color="auto"/>
            </w:tcBorders>
            <w:shd w:val="clear" w:color="000000" w:fill="92D050"/>
            <w:vAlign w:val="center"/>
            <w:hideMark/>
          </w:tcPr>
          <w:p w14:paraId="7A4E80D3"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159</w:t>
            </w:r>
          </w:p>
        </w:tc>
        <w:tc>
          <w:tcPr>
            <w:tcW w:w="620" w:type="dxa"/>
            <w:tcBorders>
              <w:top w:val="nil"/>
              <w:left w:val="nil"/>
              <w:bottom w:val="single" w:sz="4" w:space="0" w:color="auto"/>
              <w:right w:val="single" w:sz="4" w:space="0" w:color="auto"/>
            </w:tcBorders>
            <w:shd w:val="clear" w:color="auto" w:fill="auto"/>
            <w:vAlign w:val="center"/>
            <w:hideMark/>
          </w:tcPr>
          <w:p w14:paraId="30B1217A"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552.5</w:t>
            </w:r>
          </w:p>
        </w:tc>
        <w:tc>
          <w:tcPr>
            <w:tcW w:w="620" w:type="dxa"/>
            <w:tcBorders>
              <w:top w:val="nil"/>
              <w:left w:val="nil"/>
              <w:bottom w:val="single" w:sz="4" w:space="0" w:color="auto"/>
              <w:right w:val="single" w:sz="4" w:space="0" w:color="auto"/>
            </w:tcBorders>
            <w:shd w:val="clear" w:color="auto" w:fill="auto"/>
            <w:vAlign w:val="center"/>
            <w:hideMark/>
          </w:tcPr>
          <w:p w14:paraId="165E24DB"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592.5</w:t>
            </w:r>
          </w:p>
        </w:tc>
        <w:tc>
          <w:tcPr>
            <w:tcW w:w="660" w:type="dxa"/>
            <w:tcBorders>
              <w:top w:val="nil"/>
              <w:left w:val="nil"/>
              <w:bottom w:val="single" w:sz="4" w:space="0" w:color="auto"/>
              <w:right w:val="single" w:sz="4" w:space="0" w:color="auto"/>
            </w:tcBorders>
            <w:shd w:val="clear" w:color="auto" w:fill="auto"/>
            <w:vAlign w:val="center"/>
            <w:hideMark/>
          </w:tcPr>
          <w:p w14:paraId="34B8AFBD"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39.28</w:t>
            </w:r>
          </w:p>
        </w:tc>
        <w:tc>
          <w:tcPr>
            <w:tcW w:w="720" w:type="dxa"/>
            <w:tcBorders>
              <w:top w:val="nil"/>
              <w:left w:val="nil"/>
              <w:bottom w:val="single" w:sz="4" w:space="0" w:color="auto"/>
              <w:right w:val="single" w:sz="4" w:space="0" w:color="auto"/>
            </w:tcBorders>
            <w:shd w:val="clear" w:color="auto" w:fill="auto"/>
            <w:vAlign w:val="center"/>
            <w:hideMark/>
          </w:tcPr>
          <w:p w14:paraId="2C3AB8C2"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29.82</w:t>
            </w:r>
          </w:p>
        </w:tc>
      </w:tr>
      <w:tr w:rsidR="00ED5CC4" w:rsidRPr="00ED5CC4" w14:paraId="6B4DE5DE" w14:textId="77777777" w:rsidTr="00ED5CC4">
        <w:trPr>
          <w:trHeight w:val="240"/>
          <w:jc w:val="center"/>
        </w:trPr>
        <w:tc>
          <w:tcPr>
            <w:tcW w:w="519" w:type="dxa"/>
            <w:vMerge/>
            <w:tcBorders>
              <w:top w:val="nil"/>
              <w:left w:val="single" w:sz="4" w:space="0" w:color="auto"/>
              <w:bottom w:val="single" w:sz="4" w:space="0" w:color="auto"/>
              <w:right w:val="single" w:sz="4" w:space="0" w:color="auto"/>
            </w:tcBorders>
            <w:vAlign w:val="center"/>
            <w:hideMark/>
          </w:tcPr>
          <w:p w14:paraId="0B152E38" w14:textId="77777777" w:rsidR="00ED5CC4" w:rsidRPr="00ED5CC4" w:rsidRDefault="00ED5CC4" w:rsidP="00ED5CC4">
            <w:pPr>
              <w:overflowPunct/>
              <w:autoSpaceDE/>
              <w:autoSpaceDN/>
              <w:adjustRightInd/>
              <w:spacing w:after="0"/>
              <w:textAlignment w:val="auto"/>
              <w:rPr>
                <w:rFonts w:ascii="Calibri" w:hAnsi="Calibri" w:cs="Calibri"/>
                <w:color w:val="000000"/>
                <w:sz w:val="18"/>
                <w:szCs w:val="18"/>
                <w:lang w:val="en-US" w:eastAsia="en-US"/>
              </w:rPr>
            </w:pPr>
          </w:p>
        </w:tc>
        <w:tc>
          <w:tcPr>
            <w:tcW w:w="432" w:type="dxa"/>
            <w:tcBorders>
              <w:top w:val="nil"/>
              <w:left w:val="nil"/>
              <w:bottom w:val="single" w:sz="4" w:space="0" w:color="auto"/>
              <w:right w:val="single" w:sz="4" w:space="0" w:color="auto"/>
            </w:tcBorders>
            <w:shd w:val="clear" w:color="000000" w:fill="E2EFDA"/>
            <w:noWrap/>
            <w:vAlign w:val="center"/>
            <w:hideMark/>
          </w:tcPr>
          <w:p w14:paraId="469AC6DA"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25</w:t>
            </w:r>
          </w:p>
        </w:tc>
        <w:tc>
          <w:tcPr>
            <w:tcW w:w="432" w:type="dxa"/>
            <w:tcBorders>
              <w:top w:val="nil"/>
              <w:left w:val="nil"/>
              <w:bottom w:val="single" w:sz="4" w:space="0" w:color="auto"/>
              <w:right w:val="single" w:sz="4" w:space="0" w:color="auto"/>
            </w:tcBorders>
            <w:shd w:val="clear" w:color="000000" w:fill="806000"/>
            <w:noWrap/>
            <w:vAlign w:val="center"/>
            <w:hideMark/>
          </w:tcPr>
          <w:p w14:paraId="3ACB6EFD" w14:textId="77777777" w:rsidR="00ED5CC4" w:rsidRPr="00ED5CC4" w:rsidRDefault="00ED5CC4" w:rsidP="00ED5CC4">
            <w:pPr>
              <w:overflowPunct/>
              <w:autoSpaceDE/>
              <w:autoSpaceDN/>
              <w:adjustRightInd/>
              <w:spacing w:after="0"/>
              <w:jc w:val="center"/>
              <w:textAlignment w:val="auto"/>
              <w:rPr>
                <w:rFonts w:ascii="Calibri" w:hAnsi="Calibri" w:cs="Calibri"/>
                <w:b/>
                <w:bCs/>
                <w:color w:val="000000"/>
                <w:sz w:val="18"/>
                <w:szCs w:val="18"/>
                <w:lang w:val="en-US" w:eastAsia="en-US"/>
              </w:rPr>
            </w:pPr>
            <w:r w:rsidRPr="00ED5CC4">
              <w:rPr>
                <w:rFonts w:ascii="Calibri" w:hAnsi="Calibri" w:cs="Calibri"/>
                <w:b/>
                <w:bCs/>
                <w:color w:val="000000"/>
                <w:sz w:val="18"/>
                <w:szCs w:val="18"/>
                <w:lang w:val="en-US" w:eastAsia="en-US"/>
              </w:rPr>
              <w:t>50</w:t>
            </w:r>
          </w:p>
        </w:tc>
        <w:tc>
          <w:tcPr>
            <w:tcW w:w="497" w:type="dxa"/>
            <w:tcBorders>
              <w:top w:val="nil"/>
              <w:left w:val="nil"/>
              <w:bottom w:val="single" w:sz="4" w:space="0" w:color="auto"/>
              <w:right w:val="single" w:sz="4" w:space="0" w:color="auto"/>
            </w:tcBorders>
            <w:shd w:val="clear" w:color="000000" w:fill="FFC000"/>
            <w:noWrap/>
            <w:vAlign w:val="center"/>
            <w:hideMark/>
          </w:tcPr>
          <w:p w14:paraId="296DB8ED"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37.5</w:t>
            </w:r>
          </w:p>
        </w:tc>
        <w:tc>
          <w:tcPr>
            <w:tcW w:w="641" w:type="dxa"/>
            <w:tcBorders>
              <w:top w:val="nil"/>
              <w:left w:val="nil"/>
              <w:bottom w:val="single" w:sz="4" w:space="0" w:color="auto"/>
              <w:right w:val="single" w:sz="4" w:space="0" w:color="auto"/>
            </w:tcBorders>
            <w:shd w:val="clear" w:color="auto" w:fill="auto"/>
            <w:noWrap/>
            <w:vAlign w:val="center"/>
            <w:hideMark/>
          </w:tcPr>
          <w:p w14:paraId="715C2DD7"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522.5</w:t>
            </w:r>
          </w:p>
        </w:tc>
        <w:tc>
          <w:tcPr>
            <w:tcW w:w="639" w:type="dxa"/>
            <w:tcBorders>
              <w:top w:val="nil"/>
              <w:left w:val="nil"/>
              <w:bottom w:val="single" w:sz="4" w:space="0" w:color="auto"/>
              <w:right w:val="single" w:sz="4" w:space="0" w:color="auto"/>
            </w:tcBorders>
            <w:shd w:val="clear" w:color="auto" w:fill="auto"/>
            <w:noWrap/>
            <w:vAlign w:val="center"/>
            <w:hideMark/>
          </w:tcPr>
          <w:p w14:paraId="785797D3"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592.5</w:t>
            </w:r>
          </w:p>
        </w:tc>
        <w:tc>
          <w:tcPr>
            <w:tcW w:w="460" w:type="dxa"/>
            <w:tcBorders>
              <w:top w:val="nil"/>
              <w:left w:val="nil"/>
              <w:bottom w:val="single" w:sz="4" w:space="0" w:color="auto"/>
              <w:right w:val="single" w:sz="4" w:space="0" w:color="auto"/>
            </w:tcBorders>
            <w:shd w:val="clear" w:color="000000" w:fill="B4C6E7"/>
            <w:vAlign w:val="center"/>
            <w:hideMark/>
          </w:tcPr>
          <w:p w14:paraId="53686A45"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133</w:t>
            </w:r>
          </w:p>
        </w:tc>
        <w:tc>
          <w:tcPr>
            <w:tcW w:w="640" w:type="dxa"/>
            <w:tcBorders>
              <w:top w:val="nil"/>
              <w:left w:val="nil"/>
              <w:bottom w:val="single" w:sz="4" w:space="0" w:color="auto"/>
              <w:right w:val="single" w:sz="4" w:space="0" w:color="auto"/>
            </w:tcBorders>
            <w:shd w:val="clear" w:color="000000" w:fill="DDEBF7"/>
            <w:vAlign w:val="center"/>
            <w:hideMark/>
          </w:tcPr>
          <w:p w14:paraId="67C1B334"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67</w:t>
            </w:r>
          </w:p>
        </w:tc>
        <w:tc>
          <w:tcPr>
            <w:tcW w:w="420" w:type="dxa"/>
            <w:tcBorders>
              <w:top w:val="nil"/>
              <w:left w:val="nil"/>
              <w:bottom w:val="single" w:sz="4" w:space="0" w:color="auto"/>
              <w:right w:val="single" w:sz="4" w:space="0" w:color="auto"/>
            </w:tcBorders>
            <w:shd w:val="clear" w:color="000000" w:fill="00B050"/>
            <w:vAlign w:val="center"/>
            <w:hideMark/>
          </w:tcPr>
          <w:p w14:paraId="0D04BF70"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267</w:t>
            </w:r>
          </w:p>
        </w:tc>
        <w:tc>
          <w:tcPr>
            <w:tcW w:w="460" w:type="dxa"/>
            <w:tcBorders>
              <w:top w:val="nil"/>
              <w:left w:val="nil"/>
              <w:bottom w:val="single" w:sz="4" w:space="0" w:color="auto"/>
              <w:right w:val="single" w:sz="4" w:space="0" w:color="auto"/>
            </w:tcBorders>
            <w:shd w:val="clear" w:color="000000" w:fill="00B050"/>
            <w:vAlign w:val="center"/>
            <w:hideMark/>
          </w:tcPr>
          <w:p w14:paraId="0A30F499"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200</w:t>
            </w:r>
          </w:p>
        </w:tc>
        <w:tc>
          <w:tcPr>
            <w:tcW w:w="620" w:type="dxa"/>
            <w:tcBorders>
              <w:top w:val="nil"/>
              <w:left w:val="nil"/>
              <w:bottom w:val="single" w:sz="4" w:space="0" w:color="auto"/>
              <w:right w:val="single" w:sz="4" w:space="0" w:color="auto"/>
            </w:tcBorders>
            <w:shd w:val="clear" w:color="auto" w:fill="auto"/>
            <w:vAlign w:val="center"/>
            <w:hideMark/>
          </w:tcPr>
          <w:p w14:paraId="13243AF2"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692.5</w:t>
            </w:r>
          </w:p>
        </w:tc>
        <w:tc>
          <w:tcPr>
            <w:tcW w:w="620" w:type="dxa"/>
            <w:tcBorders>
              <w:top w:val="nil"/>
              <w:left w:val="nil"/>
              <w:bottom w:val="single" w:sz="4" w:space="0" w:color="auto"/>
              <w:right w:val="single" w:sz="4" w:space="0" w:color="auto"/>
            </w:tcBorders>
            <w:shd w:val="clear" w:color="auto" w:fill="auto"/>
            <w:vAlign w:val="center"/>
            <w:hideMark/>
          </w:tcPr>
          <w:p w14:paraId="6FF61394"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552.5</w:t>
            </w:r>
          </w:p>
        </w:tc>
        <w:tc>
          <w:tcPr>
            <w:tcW w:w="660" w:type="dxa"/>
            <w:tcBorders>
              <w:top w:val="nil"/>
              <w:left w:val="nil"/>
              <w:bottom w:val="single" w:sz="4" w:space="0" w:color="auto"/>
              <w:right w:val="single" w:sz="4" w:space="0" w:color="auto"/>
            </w:tcBorders>
            <w:shd w:val="clear" w:color="auto" w:fill="auto"/>
            <w:vAlign w:val="center"/>
            <w:hideMark/>
          </w:tcPr>
          <w:p w14:paraId="4E5A0169"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49.46</w:t>
            </w:r>
          </w:p>
        </w:tc>
        <w:tc>
          <w:tcPr>
            <w:tcW w:w="720" w:type="dxa"/>
            <w:tcBorders>
              <w:top w:val="nil"/>
              <w:left w:val="nil"/>
              <w:bottom w:val="single" w:sz="4" w:space="0" w:color="auto"/>
              <w:right w:val="single" w:sz="4" w:space="0" w:color="auto"/>
            </w:tcBorders>
            <w:shd w:val="clear" w:color="auto" w:fill="auto"/>
            <w:vAlign w:val="center"/>
            <w:hideMark/>
          </w:tcPr>
          <w:p w14:paraId="6DF501AB"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37.12</w:t>
            </w:r>
          </w:p>
        </w:tc>
      </w:tr>
      <w:tr w:rsidR="00ED5CC4" w:rsidRPr="00ED5CC4" w14:paraId="447B8864" w14:textId="77777777" w:rsidTr="00ED5CC4">
        <w:trPr>
          <w:trHeight w:val="240"/>
          <w:jc w:val="center"/>
        </w:trPr>
        <w:tc>
          <w:tcPr>
            <w:tcW w:w="519" w:type="dxa"/>
            <w:vMerge/>
            <w:tcBorders>
              <w:top w:val="nil"/>
              <w:left w:val="single" w:sz="4" w:space="0" w:color="auto"/>
              <w:bottom w:val="single" w:sz="4" w:space="0" w:color="auto"/>
              <w:right w:val="single" w:sz="4" w:space="0" w:color="auto"/>
            </w:tcBorders>
            <w:vAlign w:val="center"/>
            <w:hideMark/>
          </w:tcPr>
          <w:p w14:paraId="26787374" w14:textId="77777777" w:rsidR="00ED5CC4" w:rsidRPr="00ED5CC4" w:rsidRDefault="00ED5CC4" w:rsidP="00ED5CC4">
            <w:pPr>
              <w:overflowPunct/>
              <w:autoSpaceDE/>
              <w:autoSpaceDN/>
              <w:adjustRightInd/>
              <w:spacing w:after="0"/>
              <w:textAlignment w:val="auto"/>
              <w:rPr>
                <w:rFonts w:ascii="Calibri" w:hAnsi="Calibri" w:cs="Calibri"/>
                <w:color w:val="000000"/>
                <w:sz w:val="18"/>
                <w:szCs w:val="18"/>
                <w:lang w:val="en-US" w:eastAsia="en-US"/>
              </w:rPr>
            </w:pPr>
          </w:p>
        </w:tc>
        <w:tc>
          <w:tcPr>
            <w:tcW w:w="432" w:type="dxa"/>
            <w:tcBorders>
              <w:top w:val="nil"/>
              <w:left w:val="nil"/>
              <w:bottom w:val="single" w:sz="4" w:space="0" w:color="auto"/>
              <w:right w:val="single" w:sz="4" w:space="0" w:color="auto"/>
            </w:tcBorders>
            <w:shd w:val="clear" w:color="000000" w:fill="FFE699"/>
            <w:noWrap/>
            <w:vAlign w:val="center"/>
            <w:hideMark/>
          </w:tcPr>
          <w:p w14:paraId="75F20214"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30</w:t>
            </w:r>
          </w:p>
        </w:tc>
        <w:tc>
          <w:tcPr>
            <w:tcW w:w="432" w:type="dxa"/>
            <w:tcBorders>
              <w:top w:val="nil"/>
              <w:left w:val="nil"/>
              <w:bottom w:val="single" w:sz="4" w:space="0" w:color="auto"/>
              <w:right w:val="single" w:sz="4" w:space="0" w:color="auto"/>
            </w:tcBorders>
            <w:shd w:val="clear" w:color="000000" w:fill="F8CBAD"/>
            <w:noWrap/>
            <w:vAlign w:val="center"/>
            <w:hideMark/>
          </w:tcPr>
          <w:p w14:paraId="6046AA68"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60</w:t>
            </w:r>
          </w:p>
        </w:tc>
        <w:tc>
          <w:tcPr>
            <w:tcW w:w="497" w:type="dxa"/>
            <w:tcBorders>
              <w:top w:val="nil"/>
              <w:left w:val="nil"/>
              <w:bottom w:val="single" w:sz="4" w:space="0" w:color="auto"/>
              <w:right w:val="single" w:sz="4" w:space="0" w:color="auto"/>
            </w:tcBorders>
            <w:shd w:val="clear" w:color="000000" w:fill="BF8F00"/>
            <w:noWrap/>
            <w:vAlign w:val="center"/>
            <w:hideMark/>
          </w:tcPr>
          <w:p w14:paraId="12043C6A"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45</w:t>
            </w:r>
          </w:p>
        </w:tc>
        <w:tc>
          <w:tcPr>
            <w:tcW w:w="641" w:type="dxa"/>
            <w:tcBorders>
              <w:top w:val="nil"/>
              <w:left w:val="nil"/>
              <w:bottom w:val="single" w:sz="4" w:space="0" w:color="auto"/>
              <w:right w:val="single" w:sz="4" w:space="0" w:color="auto"/>
            </w:tcBorders>
            <w:shd w:val="clear" w:color="auto" w:fill="auto"/>
            <w:noWrap/>
            <w:vAlign w:val="center"/>
            <w:hideMark/>
          </w:tcPr>
          <w:p w14:paraId="478E5FCF"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592.5</w:t>
            </w:r>
          </w:p>
        </w:tc>
        <w:tc>
          <w:tcPr>
            <w:tcW w:w="639" w:type="dxa"/>
            <w:tcBorders>
              <w:top w:val="nil"/>
              <w:left w:val="nil"/>
              <w:bottom w:val="single" w:sz="4" w:space="0" w:color="auto"/>
              <w:right w:val="single" w:sz="4" w:space="0" w:color="auto"/>
            </w:tcBorders>
            <w:shd w:val="clear" w:color="auto" w:fill="auto"/>
            <w:noWrap/>
            <w:vAlign w:val="center"/>
            <w:hideMark/>
          </w:tcPr>
          <w:p w14:paraId="3BFE75F8"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592.5</w:t>
            </w:r>
          </w:p>
        </w:tc>
        <w:tc>
          <w:tcPr>
            <w:tcW w:w="460" w:type="dxa"/>
            <w:tcBorders>
              <w:top w:val="nil"/>
              <w:left w:val="nil"/>
              <w:bottom w:val="single" w:sz="4" w:space="0" w:color="auto"/>
              <w:right w:val="single" w:sz="4" w:space="0" w:color="auto"/>
            </w:tcBorders>
            <w:shd w:val="clear" w:color="000000" w:fill="B4C6E7"/>
            <w:vAlign w:val="center"/>
            <w:hideMark/>
          </w:tcPr>
          <w:p w14:paraId="2C0088E8"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160</w:t>
            </w:r>
          </w:p>
        </w:tc>
        <w:tc>
          <w:tcPr>
            <w:tcW w:w="640" w:type="dxa"/>
            <w:tcBorders>
              <w:top w:val="nil"/>
              <w:left w:val="nil"/>
              <w:bottom w:val="single" w:sz="4" w:space="0" w:color="auto"/>
              <w:right w:val="single" w:sz="4" w:space="0" w:color="auto"/>
            </w:tcBorders>
            <w:shd w:val="clear" w:color="000000" w:fill="DDEBF7"/>
            <w:vAlign w:val="center"/>
            <w:hideMark/>
          </w:tcPr>
          <w:p w14:paraId="2B90EFA5"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80</w:t>
            </w:r>
          </w:p>
        </w:tc>
        <w:tc>
          <w:tcPr>
            <w:tcW w:w="420" w:type="dxa"/>
            <w:tcBorders>
              <w:top w:val="nil"/>
              <w:left w:val="nil"/>
              <w:bottom w:val="single" w:sz="4" w:space="0" w:color="auto"/>
              <w:right w:val="single" w:sz="4" w:space="0" w:color="auto"/>
            </w:tcBorders>
            <w:shd w:val="clear" w:color="000000" w:fill="00B050"/>
            <w:vAlign w:val="center"/>
            <w:hideMark/>
          </w:tcPr>
          <w:p w14:paraId="72464BBB"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320</w:t>
            </w:r>
          </w:p>
        </w:tc>
        <w:tc>
          <w:tcPr>
            <w:tcW w:w="460" w:type="dxa"/>
            <w:tcBorders>
              <w:top w:val="nil"/>
              <w:left w:val="nil"/>
              <w:bottom w:val="single" w:sz="4" w:space="0" w:color="auto"/>
              <w:right w:val="single" w:sz="4" w:space="0" w:color="auto"/>
            </w:tcBorders>
            <w:shd w:val="clear" w:color="000000" w:fill="00B050"/>
            <w:vAlign w:val="center"/>
            <w:hideMark/>
          </w:tcPr>
          <w:p w14:paraId="0DD42705"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240</w:t>
            </w:r>
          </w:p>
        </w:tc>
        <w:tc>
          <w:tcPr>
            <w:tcW w:w="620" w:type="dxa"/>
            <w:tcBorders>
              <w:top w:val="nil"/>
              <w:left w:val="nil"/>
              <w:bottom w:val="single" w:sz="4" w:space="0" w:color="auto"/>
              <w:right w:val="single" w:sz="4" w:space="0" w:color="auto"/>
            </w:tcBorders>
            <w:shd w:val="clear" w:color="auto" w:fill="auto"/>
            <w:vAlign w:val="center"/>
            <w:hideMark/>
          </w:tcPr>
          <w:p w14:paraId="1EE99574"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825.0</w:t>
            </w:r>
          </w:p>
        </w:tc>
        <w:tc>
          <w:tcPr>
            <w:tcW w:w="620" w:type="dxa"/>
            <w:tcBorders>
              <w:top w:val="nil"/>
              <w:left w:val="nil"/>
              <w:bottom w:val="single" w:sz="4" w:space="0" w:color="auto"/>
              <w:right w:val="single" w:sz="4" w:space="0" w:color="auto"/>
            </w:tcBorders>
            <w:shd w:val="clear" w:color="auto" w:fill="auto"/>
            <w:vAlign w:val="center"/>
            <w:hideMark/>
          </w:tcPr>
          <w:p w14:paraId="0217442F"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712.5</w:t>
            </w:r>
          </w:p>
        </w:tc>
        <w:tc>
          <w:tcPr>
            <w:tcW w:w="660" w:type="dxa"/>
            <w:tcBorders>
              <w:top w:val="nil"/>
              <w:left w:val="nil"/>
              <w:bottom w:val="single" w:sz="4" w:space="0" w:color="auto"/>
              <w:right w:val="single" w:sz="4" w:space="0" w:color="auto"/>
            </w:tcBorders>
            <w:shd w:val="clear" w:color="auto" w:fill="auto"/>
            <w:vAlign w:val="center"/>
            <w:hideMark/>
          </w:tcPr>
          <w:p w14:paraId="519F65A9"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59.265</w:t>
            </w:r>
          </w:p>
        </w:tc>
        <w:tc>
          <w:tcPr>
            <w:tcW w:w="720" w:type="dxa"/>
            <w:tcBorders>
              <w:top w:val="nil"/>
              <w:left w:val="nil"/>
              <w:bottom w:val="single" w:sz="4" w:space="0" w:color="auto"/>
              <w:right w:val="single" w:sz="4" w:space="0" w:color="auto"/>
            </w:tcBorders>
            <w:shd w:val="clear" w:color="auto" w:fill="auto"/>
            <w:vAlign w:val="center"/>
            <w:hideMark/>
          </w:tcPr>
          <w:p w14:paraId="6B0BF323"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44.64</w:t>
            </w:r>
          </w:p>
        </w:tc>
      </w:tr>
      <w:tr w:rsidR="00ED5CC4" w:rsidRPr="00ED5CC4" w14:paraId="3B6027AA" w14:textId="77777777" w:rsidTr="00ED5CC4">
        <w:trPr>
          <w:trHeight w:val="240"/>
          <w:jc w:val="center"/>
        </w:trPr>
        <w:tc>
          <w:tcPr>
            <w:tcW w:w="519" w:type="dxa"/>
            <w:vMerge/>
            <w:tcBorders>
              <w:top w:val="nil"/>
              <w:left w:val="single" w:sz="4" w:space="0" w:color="auto"/>
              <w:bottom w:val="single" w:sz="4" w:space="0" w:color="auto"/>
              <w:right w:val="single" w:sz="4" w:space="0" w:color="auto"/>
            </w:tcBorders>
            <w:vAlign w:val="center"/>
            <w:hideMark/>
          </w:tcPr>
          <w:p w14:paraId="522C35C6" w14:textId="77777777" w:rsidR="00ED5CC4" w:rsidRPr="00ED5CC4" w:rsidRDefault="00ED5CC4" w:rsidP="00ED5CC4">
            <w:pPr>
              <w:overflowPunct/>
              <w:autoSpaceDE/>
              <w:autoSpaceDN/>
              <w:adjustRightInd/>
              <w:spacing w:after="0"/>
              <w:textAlignment w:val="auto"/>
              <w:rPr>
                <w:rFonts w:ascii="Calibri" w:hAnsi="Calibri" w:cs="Calibri"/>
                <w:color w:val="000000"/>
                <w:sz w:val="18"/>
                <w:szCs w:val="18"/>
                <w:lang w:val="en-US" w:eastAsia="en-US"/>
              </w:rPr>
            </w:pPr>
          </w:p>
        </w:tc>
        <w:tc>
          <w:tcPr>
            <w:tcW w:w="432" w:type="dxa"/>
            <w:tcBorders>
              <w:top w:val="nil"/>
              <w:left w:val="nil"/>
              <w:bottom w:val="single" w:sz="4" w:space="0" w:color="auto"/>
              <w:right w:val="single" w:sz="4" w:space="0" w:color="auto"/>
            </w:tcBorders>
            <w:shd w:val="clear" w:color="000000" w:fill="FFD966"/>
            <w:noWrap/>
            <w:vAlign w:val="center"/>
            <w:hideMark/>
          </w:tcPr>
          <w:p w14:paraId="0517D7C8"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35</w:t>
            </w:r>
          </w:p>
        </w:tc>
        <w:tc>
          <w:tcPr>
            <w:tcW w:w="432" w:type="dxa"/>
            <w:tcBorders>
              <w:top w:val="nil"/>
              <w:left w:val="nil"/>
              <w:bottom w:val="single" w:sz="4" w:space="0" w:color="auto"/>
              <w:right w:val="single" w:sz="4" w:space="0" w:color="auto"/>
            </w:tcBorders>
            <w:shd w:val="clear" w:color="000000" w:fill="F4B084"/>
            <w:noWrap/>
            <w:vAlign w:val="center"/>
            <w:hideMark/>
          </w:tcPr>
          <w:p w14:paraId="7EBDC7E1"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70</w:t>
            </w:r>
          </w:p>
        </w:tc>
        <w:tc>
          <w:tcPr>
            <w:tcW w:w="497" w:type="dxa"/>
            <w:tcBorders>
              <w:top w:val="nil"/>
              <w:left w:val="nil"/>
              <w:bottom w:val="single" w:sz="4" w:space="0" w:color="auto"/>
              <w:right w:val="single" w:sz="4" w:space="0" w:color="auto"/>
            </w:tcBorders>
            <w:shd w:val="clear" w:color="000000" w:fill="F8CBAD"/>
            <w:noWrap/>
            <w:vAlign w:val="center"/>
            <w:hideMark/>
          </w:tcPr>
          <w:p w14:paraId="51A9F3BB"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52.5</w:t>
            </w:r>
          </w:p>
        </w:tc>
        <w:tc>
          <w:tcPr>
            <w:tcW w:w="641" w:type="dxa"/>
            <w:tcBorders>
              <w:top w:val="nil"/>
              <w:left w:val="nil"/>
              <w:bottom w:val="single" w:sz="4" w:space="0" w:color="auto"/>
              <w:right w:val="single" w:sz="4" w:space="0" w:color="auto"/>
            </w:tcBorders>
            <w:shd w:val="clear" w:color="auto" w:fill="auto"/>
            <w:noWrap/>
            <w:vAlign w:val="center"/>
            <w:hideMark/>
          </w:tcPr>
          <w:p w14:paraId="7FF82379"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572.5</w:t>
            </w:r>
          </w:p>
        </w:tc>
        <w:tc>
          <w:tcPr>
            <w:tcW w:w="639" w:type="dxa"/>
            <w:tcBorders>
              <w:top w:val="nil"/>
              <w:left w:val="nil"/>
              <w:bottom w:val="single" w:sz="4" w:space="0" w:color="auto"/>
              <w:right w:val="single" w:sz="4" w:space="0" w:color="auto"/>
            </w:tcBorders>
            <w:shd w:val="clear" w:color="auto" w:fill="auto"/>
            <w:noWrap/>
            <w:vAlign w:val="center"/>
            <w:hideMark/>
          </w:tcPr>
          <w:p w14:paraId="6D75D14A"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572.5</w:t>
            </w:r>
          </w:p>
        </w:tc>
        <w:tc>
          <w:tcPr>
            <w:tcW w:w="460" w:type="dxa"/>
            <w:tcBorders>
              <w:top w:val="nil"/>
              <w:left w:val="nil"/>
              <w:bottom w:val="single" w:sz="4" w:space="0" w:color="auto"/>
              <w:right w:val="single" w:sz="4" w:space="0" w:color="auto"/>
            </w:tcBorders>
            <w:shd w:val="clear" w:color="000000" w:fill="B4C6E7"/>
            <w:vAlign w:val="center"/>
            <w:hideMark/>
          </w:tcPr>
          <w:p w14:paraId="5BEAF94B"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188</w:t>
            </w:r>
          </w:p>
        </w:tc>
        <w:tc>
          <w:tcPr>
            <w:tcW w:w="640" w:type="dxa"/>
            <w:tcBorders>
              <w:top w:val="nil"/>
              <w:left w:val="nil"/>
              <w:bottom w:val="single" w:sz="4" w:space="0" w:color="auto"/>
              <w:right w:val="single" w:sz="4" w:space="0" w:color="auto"/>
            </w:tcBorders>
            <w:shd w:val="clear" w:color="000000" w:fill="DDEBF7"/>
            <w:vAlign w:val="center"/>
            <w:hideMark/>
          </w:tcPr>
          <w:p w14:paraId="606AA45C"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94</w:t>
            </w:r>
          </w:p>
        </w:tc>
        <w:tc>
          <w:tcPr>
            <w:tcW w:w="420" w:type="dxa"/>
            <w:tcBorders>
              <w:top w:val="nil"/>
              <w:left w:val="nil"/>
              <w:bottom w:val="single" w:sz="4" w:space="0" w:color="auto"/>
              <w:right w:val="single" w:sz="4" w:space="0" w:color="auto"/>
            </w:tcBorders>
            <w:shd w:val="clear" w:color="000000" w:fill="92D050"/>
            <w:vAlign w:val="center"/>
            <w:hideMark/>
          </w:tcPr>
          <w:p w14:paraId="76304FC2"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376</w:t>
            </w:r>
          </w:p>
        </w:tc>
        <w:tc>
          <w:tcPr>
            <w:tcW w:w="460" w:type="dxa"/>
            <w:tcBorders>
              <w:top w:val="nil"/>
              <w:left w:val="nil"/>
              <w:bottom w:val="single" w:sz="4" w:space="0" w:color="auto"/>
              <w:right w:val="single" w:sz="4" w:space="0" w:color="auto"/>
            </w:tcBorders>
            <w:shd w:val="clear" w:color="000000" w:fill="00B050"/>
            <w:vAlign w:val="center"/>
            <w:hideMark/>
          </w:tcPr>
          <w:p w14:paraId="3670CCB9"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282</w:t>
            </w:r>
          </w:p>
        </w:tc>
        <w:tc>
          <w:tcPr>
            <w:tcW w:w="620" w:type="dxa"/>
            <w:tcBorders>
              <w:top w:val="nil"/>
              <w:left w:val="nil"/>
              <w:bottom w:val="single" w:sz="4" w:space="0" w:color="auto"/>
              <w:right w:val="single" w:sz="4" w:space="0" w:color="auto"/>
            </w:tcBorders>
            <w:shd w:val="clear" w:color="auto" w:fill="auto"/>
            <w:vAlign w:val="center"/>
            <w:hideMark/>
          </w:tcPr>
          <w:p w14:paraId="206AA9CE"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965.0</w:t>
            </w:r>
          </w:p>
        </w:tc>
        <w:tc>
          <w:tcPr>
            <w:tcW w:w="620" w:type="dxa"/>
            <w:tcBorders>
              <w:top w:val="nil"/>
              <w:left w:val="nil"/>
              <w:bottom w:val="single" w:sz="4" w:space="0" w:color="auto"/>
              <w:right w:val="single" w:sz="4" w:space="0" w:color="auto"/>
            </w:tcBorders>
            <w:shd w:val="clear" w:color="auto" w:fill="auto"/>
            <w:vAlign w:val="center"/>
            <w:hideMark/>
          </w:tcPr>
          <w:p w14:paraId="3700FA16"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825.0</w:t>
            </w:r>
          </w:p>
        </w:tc>
        <w:tc>
          <w:tcPr>
            <w:tcW w:w="660" w:type="dxa"/>
            <w:tcBorders>
              <w:top w:val="nil"/>
              <w:left w:val="nil"/>
              <w:bottom w:val="single" w:sz="4" w:space="0" w:color="auto"/>
              <w:right w:val="single" w:sz="4" w:space="0" w:color="auto"/>
            </w:tcBorders>
            <w:shd w:val="clear" w:color="auto" w:fill="auto"/>
            <w:vAlign w:val="center"/>
            <w:hideMark/>
          </w:tcPr>
          <w:p w14:paraId="3B86E4F3"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69.625</w:t>
            </w:r>
          </w:p>
        </w:tc>
        <w:tc>
          <w:tcPr>
            <w:tcW w:w="720" w:type="dxa"/>
            <w:tcBorders>
              <w:top w:val="nil"/>
              <w:left w:val="nil"/>
              <w:bottom w:val="single" w:sz="4" w:space="0" w:color="auto"/>
              <w:right w:val="single" w:sz="4" w:space="0" w:color="auto"/>
            </w:tcBorders>
            <w:shd w:val="clear" w:color="auto" w:fill="auto"/>
            <w:vAlign w:val="center"/>
            <w:hideMark/>
          </w:tcPr>
          <w:p w14:paraId="410A18A4"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52.425</w:t>
            </w:r>
          </w:p>
        </w:tc>
      </w:tr>
      <w:tr w:rsidR="00ED5CC4" w:rsidRPr="00ED5CC4" w14:paraId="363FC83A" w14:textId="77777777" w:rsidTr="00ED5CC4">
        <w:trPr>
          <w:trHeight w:val="240"/>
          <w:jc w:val="center"/>
        </w:trPr>
        <w:tc>
          <w:tcPr>
            <w:tcW w:w="519" w:type="dxa"/>
            <w:vMerge/>
            <w:tcBorders>
              <w:top w:val="nil"/>
              <w:left w:val="single" w:sz="4" w:space="0" w:color="auto"/>
              <w:bottom w:val="single" w:sz="4" w:space="0" w:color="auto"/>
              <w:right w:val="single" w:sz="4" w:space="0" w:color="auto"/>
            </w:tcBorders>
            <w:vAlign w:val="center"/>
            <w:hideMark/>
          </w:tcPr>
          <w:p w14:paraId="72DE87A9" w14:textId="77777777" w:rsidR="00ED5CC4" w:rsidRPr="00ED5CC4" w:rsidRDefault="00ED5CC4" w:rsidP="00ED5CC4">
            <w:pPr>
              <w:overflowPunct/>
              <w:autoSpaceDE/>
              <w:autoSpaceDN/>
              <w:adjustRightInd/>
              <w:spacing w:after="0"/>
              <w:textAlignment w:val="auto"/>
              <w:rPr>
                <w:rFonts w:ascii="Calibri" w:hAnsi="Calibri" w:cs="Calibri"/>
                <w:color w:val="000000"/>
                <w:sz w:val="18"/>
                <w:szCs w:val="18"/>
                <w:lang w:val="en-US" w:eastAsia="en-US"/>
              </w:rPr>
            </w:pPr>
          </w:p>
        </w:tc>
        <w:tc>
          <w:tcPr>
            <w:tcW w:w="432" w:type="dxa"/>
            <w:tcBorders>
              <w:top w:val="nil"/>
              <w:left w:val="nil"/>
              <w:bottom w:val="single" w:sz="4" w:space="0" w:color="auto"/>
              <w:right w:val="single" w:sz="4" w:space="0" w:color="auto"/>
            </w:tcBorders>
            <w:shd w:val="clear" w:color="000000" w:fill="FFC000"/>
            <w:noWrap/>
            <w:vAlign w:val="center"/>
            <w:hideMark/>
          </w:tcPr>
          <w:p w14:paraId="5E07559B"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40</w:t>
            </w:r>
          </w:p>
        </w:tc>
        <w:tc>
          <w:tcPr>
            <w:tcW w:w="432" w:type="dxa"/>
            <w:tcBorders>
              <w:top w:val="nil"/>
              <w:left w:val="nil"/>
              <w:bottom w:val="single" w:sz="4" w:space="0" w:color="auto"/>
              <w:right w:val="single" w:sz="4" w:space="0" w:color="auto"/>
            </w:tcBorders>
            <w:shd w:val="clear" w:color="000000" w:fill="ED7D31"/>
            <w:noWrap/>
            <w:vAlign w:val="center"/>
            <w:hideMark/>
          </w:tcPr>
          <w:p w14:paraId="5A6BF4D9"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80</w:t>
            </w:r>
          </w:p>
        </w:tc>
        <w:tc>
          <w:tcPr>
            <w:tcW w:w="497" w:type="dxa"/>
            <w:tcBorders>
              <w:top w:val="nil"/>
              <w:left w:val="nil"/>
              <w:bottom w:val="single" w:sz="4" w:space="0" w:color="auto"/>
              <w:right w:val="single" w:sz="4" w:space="0" w:color="auto"/>
            </w:tcBorders>
            <w:shd w:val="clear" w:color="000000" w:fill="F8CBAD"/>
            <w:noWrap/>
            <w:vAlign w:val="center"/>
            <w:hideMark/>
          </w:tcPr>
          <w:p w14:paraId="7A9D04FE"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60</w:t>
            </w:r>
          </w:p>
        </w:tc>
        <w:tc>
          <w:tcPr>
            <w:tcW w:w="641" w:type="dxa"/>
            <w:tcBorders>
              <w:top w:val="nil"/>
              <w:left w:val="nil"/>
              <w:bottom w:val="single" w:sz="4" w:space="0" w:color="auto"/>
              <w:right w:val="single" w:sz="4" w:space="0" w:color="auto"/>
            </w:tcBorders>
            <w:shd w:val="clear" w:color="auto" w:fill="auto"/>
            <w:noWrap/>
            <w:vAlign w:val="center"/>
            <w:hideMark/>
          </w:tcPr>
          <w:p w14:paraId="74D56E25"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552.5</w:t>
            </w:r>
          </w:p>
        </w:tc>
        <w:tc>
          <w:tcPr>
            <w:tcW w:w="639" w:type="dxa"/>
            <w:tcBorders>
              <w:top w:val="nil"/>
              <w:left w:val="nil"/>
              <w:bottom w:val="single" w:sz="4" w:space="0" w:color="auto"/>
              <w:right w:val="single" w:sz="4" w:space="0" w:color="auto"/>
            </w:tcBorders>
            <w:shd w:val="clear" w:color="auto" w:fill="auto"/>
            <w:noWrap/>
            <w:vAlign w:val="center"/>
            <w:hideMark/>
          </w:tcPr>
          <w:p w14:paraId="3AEF749B"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712.5</w:t>
            </w:r>
          </w:p>
        </w:tc>
        <w:tc>
          <w:tcPr>
            <w:tcW w:w="460" w:type="dxa"/>
            <w:tcBorders>
              <w:top w:val="nil"/>
              <w:left w:val="nil"/>
              <w:bottom w:val="single" w:sz="4" w:space="0" w:color="auto"/>
              <w:right w:val="single" w:sz="4" w:space="0" w:color="auto"/>
            </w:tcBorders>
            <w:shd w:val="clear" w:color="000000" w:fill="B4C6E7"/>
            <w:vAlign w:val="center"/>
            <w:hideMark/>
          </w:tcPr>
          <w:p w14:paraId="0F593F32"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216</w:t>
            </w:r>
          </w:p>
        </w:tc>
        <w:tc>
          <w:tcPr>
            <w:tcW w:w="640" w:type="dxa"/>
            <w:tcBorders>
              <w:top w:val="nil"/>
              <w:left w:val="nil"/>
              <w:bottom w:val="single" w:sz="4" w:space="0" w:color="auto"/>
              <w:right w:val="single" w:sz="4" w:space="0" w:color="auto"/>
            </w:tcBorders>
            <w:shd w:val="clear" w:color="000000" w:fill="DDEBF7"/>
            <w:vAlign w:val="center"/>
            <w:hideMark/>
          </w:tcPr>
          <w:p w14:paraId="6DDA0F51"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108</w:t>
            </w:r>
          </w:p>
        </w:tc>
        <w:tc>
          <w:tcPr>
            <w:tcW w:w="420" w:type="dxa"/>
            <w:tcBorders>
              <w:top w:val="nil"/>
              <w:left w:val="nil"/>
              <w:bottom w:val="single" w:sz="4" w:space="0" w:color="auto"/>
              <w:right w:val="single" w:sz="4" w:space="0" w:color="auto"/>
            </w:tcBorders>
            <w:shd w:val="clear" w:color="000000" w:fill="92D050"/>
            <w:vAlign w:val="center"/>
            <w:hideMark/>
          </w:tcPr>
          <w:p w14:paraId="618A926E"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432</w:t>
            </w:r>
          </w:p>
        </w:tc>
        <w:tc>
          <w:tcPr>
            <w:tcW w:w="460" w:type="dxa"/>
            <w:tcBorders>
              <w:top w:val="nil"/>
              <w:left w:val="nil"/>
              <w:bottom w:val="single" w:sz="4" w:space="0" w:color="auto"/>
              <w:right w:val="single" w:sz="4" w:space="0" w:color="auto"/>
            </w:tcBorders>
            <w:shd w:val="clear" w:color="000000" w:fill="92D050"/>
            <w:vAlign w:val="center"/>
            <w:hideMark/>
          </w:tcPr>
          <w:p w14:paraId="1C20777B"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324</w:t>
            </w:r>
          </w:p>
        </w:tc>
        <w:tc>
          <w:tcPr>
            <w:tcW w:w="620" w:type="dxa"/>
            <w:tcBorders>
              <w:top w:val="nil"/>
              <w:left w:val="nil"/>
              <w:bottom w:val="single" w:sz="4" w:space="0" w:color="auto"/>
              <w:right w:val="single" w:sz="4" w:space="0" w:color="auto"/>
            </w:tcBorders>
            <w:shd w:val="clear" w:color="auto" w:fill="auto"/>
            <w:vAlign w:val="center"/>
            <w:hideMark/>
          </w:tcPr>
          <w:p w14:paraId="24946448"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925.0</w:t>
            </w:r>
          </w:p>
        </w:tc>
        <w:tc>
          <w:tcPr>
            <w:tcW w:w="620" w:type="dxa"/>
            <w:tcBorders>
              <w:top w:val="nil"/>
              <w:left w:val="nil"/>
              <w:bottom w:val="single" w:sz="4" w:space="0" w:color="auto"/>
              <w:right w:val="single" w:sz="4" w:space="0" w:color="auto"/>
            </w:tcBorders>
            <w:shd w:val="clear" w:color="auto" w:fill="auto"/>
            <w:vAlign w:val="center"/>
            <w:hideMark/>
          </w:tcPr>
          <w:p w14:paraId="6BD7D347"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825.0</w:t>
            </w:r>
          </w:p>
        </w:tc>
        <w:tc>
          <w:tcPr>
            <w:tcW w:w="660" w:type="dxa"/>
            <w:tcBorders>
              <w:top w:val="nil"/>
              <w:left w:val="nil"/>
              <w:bottom w:val="single" w:sz="4" w:space="0" w:color="auto"/>
              <w:right w:val="single" w:sz="4" w:space="0" w:color="auto"/>
            </w:tcBorders>
            <w:shd w:val="clear" w:color="auto" w:fill="auto"/>
            <w:vAlign w:val="center"/>
            <w:hideMark/>
          </w:tcPr>
          <w:p w14:paraId="51D142AD"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79.625</w:t>
            </w:r>
          </w:p>
        </w:tc>
        <w:tc>
          <w:tcPr>
            <w:tcW w:w="720" w:type="dxa"/>
            <w:tcBorders>
              <w:top w:val="nil"/>
              <w:left w:val="nil"/>
              <w:bottom w:val="single" w:sz="4" w:space="0" w:color="auto"/>
              <w:right w:val="single" w:sz="4" w:space="0" w:color="auto"/>
            </w:tcBorders>
            <w:shd w:val="clear" w:color="auto" w:fill="auto"/>
            <w:vAlign w:val="center"/>
            <w:hideMark/>
          </w:tcPr>
          <w:p w14:paraId="63F7D8A9"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59.985</w:t>
            </w:r>
          </w:p>
        </w:tc>
      </w:tr>
      <w:tr w:rsidR="00ED5CC4" w:rsidRPr="00ED5CC4" w14:paraId="0F17CE92" w14:textId="77777777" w:rsidTr="00ED5CC4">
        <w:trPr>
          <w:trHeight w:val="240"/>
          <w:jc w:val="center"/>
        </w:trPr>
        <w:tc>
          <w:tcPr>
            <w:tcW w:w="519" w:type="dxa"/>
            <w:vMerge/>
            <w:tcBorders>
              <w:top w:val="nil"/>
              <w:left w:val="single" w:sz="4" w:space="0" w:color="auto"/>
              <w:bottom w:val="single" w:sz="4" w:space="0" w:color="auto"/>
              <w:right w:val="single" w:sz="4" w:space="0" w:color="auto"/>
            </w:tcBorders>
            <w:vAlign w:val="center"/>
            <w:hideMark/>
          </w:tcPr>
          <w:p w14:paraId="47F12413" w14:textId="77777777" w:rsidR="00ED5CC4" w:rsidRPr="00ED5CC4" w:rsidRDefault="00ED5CC4" w:rsidP="00ED5CC4">
            <w:pPr>
              <w:overflowPunct/>
              <w:autoSpaceDE/>
              <w:autoSpaceDN/>
              <w:adjustRightInd/>
              <w:spacing w:after="0"/>
              <w:textAlignment w:val="auto"/>
              <w:rPr>
                <w:rFonts w:ascii="Calibri" w:hAnsi="Calibri" w:cs="Calibri"/>
                <w:color w:val="000000"/>
                <w:sz w:val="18"/>
                <w:szCs w:val="18"/>
                <w:lang w:val="en-US" w:eastAsia="en-US"/>
              </w:rPr>
            </w:pPr>
          </w:p>
        </w:tc>
        <w:tc>
          <w:tcPr>
            <w:tcW w:w="432" w:type="dxa"/>
            <w:tcBorders>
              <w:top w:val="nil"/>
              <w:left w:val="nil"/>
              <w:bottom w:val="single" w:sz="4" w:space="0" w:color="auto"/>
              <w:right w:val="single" w:sz="4" w:space="0" w:color="auto"/>
            </w:tcBorders>
            <w:shd w:val="clear" w:color="000000" w:fill="BF8F00"/>
            <w:noWrap/>
            <w:vAlign w:val="center"/>
            <w:hideMark/>
          </w:tcPr>
          <w:p w14:paraId="0901BFED"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45</w:t>
            </w:r>
          </w:p>
        </w:tc>
        <w:tc>
          <w:tcPr>
            <w:tcW w:w="432" w:type="dxa"/>
            <w:tcBorders>
              <w:top w:val="nil"/>
              <w:left w:val="nil"/>
              <w:bottom w:val="single" w:sz="4" w:space="0" w:color="auto"/>
              <w:right w:val="single" w:sz="4" w:space="0" w:color="auto"/>
            </w:tcBorders>
            <w:shd w:val="clear" w:color="000000" w:fill="C65911"/>
            <w:noWrap/>
            <w:vAlign w:val="center"/>
            <w:hideMark/>
          </w:tcPr>
          <w:p w14:paraId="232CA477"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90</w:t>
            </w:r>
          </w:p>
        </w:tc>
        <w:tc>
          <w:tcPr>
            <w:tcW w:w="497" w:type="dxa"/>
            <w:tcBorders>
              <w:top w:val="nil"/>
              <w:left w:val="nil"/>
              <w:bottom w:val="single" w:sz="4" w:space="0" w:color="auto"/>
              <w:right w:val="single" w:sz="4" w:space="0" w:color="auto"/>
            </w:tcBorders>
            <w:shd w:val="clear" w:color="000000" w:fill="F4B084"/>
            <w:noWrap/>
            <w:vAlign w:val="center"/>
            <w:hideMark/>
          </w:tcPr>
          <w:p w14:paraId="02AE3A02"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67.5</w:t>
            </w:r>
          </w:p>
        </w:tc>
        <w:tc>
          <w:tcPr>
            <w:tcW w:w="641" w:type="dxa"/>
            <w:tcBorders>
              <w:top w:val="nil"/>
              <w:left w:val="nil"/>
              <w:bottom w:val="single" w:sz="4" w:space="0" w:color="auto"/>
              <w:right w:val="single" w:sz="4" w:space="0" w:color="auto"/>
            </w:tcBorders>
            <w:shd w:val="clear" w:color="auto" w:fill="auto"/>
            <w:noWrap/>
            <w:vAlign w:val="center"/>
            <w:hideMark/>
          </w:tcPr>
          <w:p w14:paraId="70F40ADB"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712.5</w:t>
            </w:r>
          </w:p>
        </w:tc>
        <w:tc>
          <w:tcPr>
            <w:tcW w:w="639" w:type="dxa"/>
            <w:tcBorders>
              <w:top w:val="nil"/>
              <w:left w:val="nil"/>
              <w:bottom w:val="single" w:sz="4" w:space="0" w:color="auto"/>
              <w:right w:val="single" w:sz="4" w:space="0" w:color="auto"/>
            </w:tcBorders>
            <w:shd w:val="clear" w:color="auto" w:fill="auto"/>
            <w:noWrap/>
            <w:vAlign w:val="center"/>
            <w:hideMark/>
          </w:tcPr>
          <w:p w14:paraId="5D51733D"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712.5</w:t>
            </w:r>
          </w:p>
        </w:tc>
        <w:tc>
          <w:tcPr>
            <w:tcW w:w="460" w:type="dxa"/>
            <w:tcBorders>
              <w:top w:val="nil"/>
              <w:left w:val="nil"/>
              <w:bottom w:val="single" w:sz="4" w:space="0" w:color="auto"/>
              <w:right w:val="single" w:sz="4" w:space="0" w:color="auto"/>
            </w:tcBorders>
            <w:shd w:val="clear" w:color="000000" w:fill="B4C6E7"/>
            <w:vAlign w:val="center"/>
            <w:hideMark/>
          </w:tcPr>
          <w:p w14:paraId="18BEC97F"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242</w:t>
            </w:r>
          </w:p>
        </w:tc>
        <w:tc>
          <w:tcPr>
            <w:tcW w:w="640" w:type="dxa"/>
            <w:tcBorders>
              <w:top w:val="nil"/>
              <w:left w:val="nil"/>
              <w:bottom w:val="single" w:sz="4" w:space="0" w:color="auto"/>
              <w:right w:val="single" w:sz="4" w:space="0" w:color="auto"/>
            </w:tcBorders>
            <w:shd w:val="clear" w:color="000000" w:fill="DDEBF7"/>
            <w:vAlign w:val="center"/>
            <w:hideMark/>
          </w:tcPr>
          <w:p w14:paraId="6A44DAE9"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121</w:t>
            </w:r>
          </w:p>
        </w:tc>
        <w:tc>
          <w:tcPr>
            <w:tcW w:w="420" w:type="dxa"/>
            <w:tcBorders>
              <w:top w:val="nil"/>
              <w:left w:val="nil"/>
              <w:bottom w:val="single" w:sz="4" w:space="0" w:color="auto"/>
              <w:right w:val="single" w:sz="4" w:space="0" w:color="auto"/>
            </w:tcBorders>
            <w:shd w:val="clear" w:color="000000" w:fill="00B050"/>
            <w:vAlign w:val="center"/>
            <w:hideMark/>
          </w:tcPr>
          <w:p w14:paraId="6E8F0B50"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484</w:t>
            </w:r>
          </w:p>
        </w:tc>
        <w:tc>
          <w:tcPr>
            <w:tcW w:w="460" w:type="dxa"/>
            <w:tcBorders>
              <w:top w:val="nil"/>
              <w:left w:val="nil"/>
              <w:bottom w:val="single" w:sz="4" w:space="0" w:color="auto"/>
              <w:right w:val="single" w:sz="4" w:space="0" w:color="auto"/>
            </w:tcBorders>
            <w:shd w:val="clear" w:color="000000" w:fill="00B050"/>
            <w:vAlign w:val="center"/>
            <w:hideMark/>
          </w:tcPr>
          <w:p w14:paraId="00B1E0C5"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363</w:t>
            </w:r>
          </w:p>
        </w:tc>
        <w:tc>
          <w:tcPr>
            <w:tcW w:w="620" w:type="dxa"/>
            <w:tcBorders>
              <w:top w:val="nil"/>
              <w:left w:val="nil"/>
              <w:bottom w:val="single" w:sz="4" w:space="0" w:color="auto"/>
              <w:right w:val="single" w:sz="4" w:space="0" w:color="auto"/>
            </w:tcBorders>
            <w:shd w:val="clear" w:color="auto" w:fill="auto"/>
            <w:vAlign w:val="center"/>
            <w:hideMark/>
          </w:tcPr>
          <w:p w14:paraId="43089DD6"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885.0</w:t>
            </w:r>
          </w:p>
        </w:tc>
        <w:tc>
          <w:tcPr>
            <w:tcW w:w="620" w:type="dxa"/>
            <w:tcBorders>
              <w:top w:val="nil"/>
              <w:left w:val="nil"/>
              <w:bottom w:val="single" w:sz="4" w:space="0" w:color="auto"/>
              <w:right w:val="single" w:sz="4" w:space="0" w:color="auto"/>
            </w:tcBorders>
            <w:shd w:val="clear" w:color="auto" w:fill="auto"/>
            <w:vAlign w:val="center"/>
            <w:hideMark/>
          </w:tcPr>
          <w:p w14:paraId="3C9C0465"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965.0</w:t>
            </w:r>
          </w:p>
        </w:tc>
        <w:tc>
          <w:tcPr>
            <w:tcW w:w="660" w:type="dxa"/>
            <w:tcBorders>
              <w:top w:val="nil"/>
              <w:left w:val="nil"/>
              <w:bottom w:val="single" w:sz="4" w:space="0" w:color="auto"/>
              <w:right w:val="single" w:sz="4" w:space="0" w:color="auto"/>
            </w:tcBorders>
            <w:shd w:val="clear" w:color="auto" w:fill="auto"/>
            <w:vAlign w:val="center"/>
            <w:hideMark/>
          </w:tcPr>
          <w:p w14:paraId="486159FA"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88.905</w:t>
            </w:r>
          </w:p>
        </w:tc>
        <w:tc>
          <w:tcPr>
            <w:tcW w:w="720" w:type="dxa"/>
            <w:tcBorders>
              <w:top w:val="nil"/>
              <w:left w:val="nil"/>
              <w:bottom w:val="single" w:sz="4" w:space="0" w:color="auto"/>
              <w:right w:val="single" w:sz="4" w:space="0" w:color="auto"/>
            </w:tcBorders>
            <w:shd w:val="clear" w:color="auto" w:fill="auto"/>
            <w:vAlign w:val="center"/>
            <w:hideMark/>
          </w:tcPr>
          <w:p w14:paraId="59C5AA01"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67.285</w:t>
            </w:r>
          </w:p>
        </w:tc>
      </w:tr>
      <w:tr w:rsidR="00ED5CC4" w:rsidRPr="00ED5CC4" w14:paraId="0C78B348" w14:textId="77777777" w:rsidTr="00ED5CC4">
        <w:trPr>
          <w:trHeight w:val="240"/>
          <w:jc w:val="center"/>
        </w:trPr>
        <w:tc>
          <w:tcPr>
            <w:tcW w:w="519" w:type="dxa"/>
            <w:vMerge/>
            <w:tcBorders>
              <w:top w:val="nil"/>
              <w:left w:val="single" w:sz="4" w:space="0" w:color="auto"/>
              <w:bottom w:val="single" w:sz="4" w:space="0" w:color="auto"/>
              <w:right w:val="single" w:sz="4" w:space="0" w:color="auto"/>
            </w:tcBorders>
            <w:vAlign w:val="center"/>
            <w:hideMark/>
          </w:tcPr>
          <w:p w14:paraId="1F5C613A" w14:textId="77777777" w:rsidR="00ED5CC4" w:rsidRPr="00ED5CC4" w:rsidRDefault="00ED5CC4" w:rsidP="00ED5CC4">
            <w:pPr>
              <w:overflowPunct/>
              <w:autoSpaceDE/>
              <w:autoSpaceDN/>
              <w:adjustRightInd/>
              <w:spacing w:after="0"/>
              <w:textAlignment w:val="auto"/>
              <w:rPr>
                <w:rFonts w:ascii="Calibri" w:hAnsi="Calibri" w:cs="Calibri"/>
                <w:color w:val="000000"/>
                <w:sz w:val="18"/>
                <w:szCs w:val="18"/>
                <w:lang w:val="en-US" w:eastAsia="en-US"/>
              </w:rPr>
            </w:pPr>
          </w:p>
        </w:tc>
        <w:tc>
          <w:tcPr>
            <w:tcW w:w="432" w:type="dxa"/>
            <w:tcBorders>
              <w:top w:val="nil"/>
              <w:left w:val="nil"/>
              <w:bottom w:val="single" w:sz="4" w:space="0" w:color="auto"/>
              <w:right w:val="single" w:sz="4" w:space="0" w:color="auto"/>
            </w:tcBorders>
            <w:shd w:val="clear" w:color="000000" w:fill="806000"/>
            <w:noWrap/>
            <w:vAlign w:val="center"/>
            <w:hideMark/>
          </w:tcPr>
          <w:p w14:paraId="360AABAA" w14:textId="77777777" w:rsidR="00ED5CC4" w:rsidRPr="00ED5CC4" w:rsidRDefault="00ED5CC4" w:rsidP="00ED5CC4">
            <w:pPr>
              <w:overflowPunct/>
              <w:autoSpaceDE/>
              <w:autoSpaceDN/>
              <w:adjustRightInd/>
              <w:spacing w:after="0"/>
              <w:jc w:val="center"/>
              <w:textAlignment w:val="auto"/>
              <w:rPr>
                <w:rFonts w:ascii="Calibri" w:hAnsi="Calibri" w:cs="Calibri"/>
                <w:b/>
                <w:bCs/>
                <w:color w:val="000000"/>
                <w:sz w:val="18"/>
                <w:szCs w:val="18"/>
                <w:lang w:val="en-US" w:eastAsia="en-US"/>
              </w:rPr>
            </w:pPr>
            <w:r w:rsidRPr="00ED5CC4">
              <w:rPr>
                <w:rFonts w:ascii="Calibri" w:hAnsi="Calibri" w:cs="Calibri"/>
                <w:b/>
                <w:bCs/>
                <w:color w:val="000000"/>
                <w:sz w:val="18"/>
                <w:szCs w:val="18"/>
                <w:lang w:val="en-US" w:eastAsia="en-US"/>
              </w:rPr>
              <w:t>50</w:t>
            </w:r>
          </w:p>
        </w:tc>
        <w:tc>
          <w:tcPr>
            <w:tcW w:w="432" w:type="dxa"/>
            <w:tcBorders>
              <w:top w:val="nil"/>
              <w:left w:val="nil"/>
              <w:bottom w:val="single" w:sz="4" w:space="0" w:color="auto"/>
              <w:right w:val="single" w:sz="4" w:space="0" w:color="auto"/>
            </w:tcBorders>
            <w:shd w:val="clear" w:color="000000" w:fill="833C0C"/>
            <w:noWrap/>
            <w:vAlign w:val="center"/>
            <w:hideMark/>
          </w:tcPr>
          <w:p w14:paraId="52685812" w14:textId="77777777" w:rsidR="00ED5CC4" w:rsidRPr="00ED5CC4" w:rsidRDefault="00ED5CC4" w:rsidP="00ED5CC4">
            <w:pPr>
              <w:overflowPunct/>
              <w:autoSpaceDE/>
              <w:autoSpaceDN/>
              <w:adjustRightInd/>
              <w:spacing w:after="0"/>
              <w:jc w:val="center"/>
              <w:textAlignment w:val="auto"/>
              <w:rPr>
                <w:rFonts w:ascii="Calibri" w:hAnsi="Calibri" w:cs="Calibri"/>
                <w:b/>
                <w:bCs/>
                <w:color w:val="000000"/>
                <w:sz w:val="18"/>
                <w:szCs w:val="18"/>
                <w:lang w:val="en-US" w:eastAsia="en-US"/>
              </w:rPr>
            </w:pPr>
            <w:r w:rsidRPr="00ED5CC4">
              <w:rPr>
                <w:rFonts w:ascii="Calibri" w:hAnsi="Calibri" w:cs="Calibri"/>
                <w:b/>
                <w:bCs/>
                <w:color w:val="000000"/>
                <w:sz w:val="18"/>
                <w:szCs w:val="18"/>
                <w:lang w:val="en-US" w:eastAsia="en-US"/>
              </w:rPr>
              <w:t>100</w:t>
            </w:r>
          </w:p>
        </w:tc>
        <w:tc>
          <w:tcPr>
            <w:tcW w:w="497" w:type="dxa"/>
            <w:tcBorders>
              <w:top w:val="nil"/>
              <w:left w:val="nil"/>
              <w:bottom w:val="single" w:sz="4" w:space="0" w:color="auto"/>
              <w:right w:val="single" w:sz="4" w:space="0" w:color="auto"/>
            </w:tcBorders>
            <w:shd w:val="clear" w:color="000000" w:fill="ED7D31"/>
            <w:noWrap/>
            <w:vAlign w:val="center"/>
            <w:hideMark/>
          </w:tcPr>
          <w:p w14:paraId="0807970A" w14:textId="77777777" w:rsidR="00ED5CC4" w:rsidRPr="00ED5CC4" w:rsidRDefault="00ED5CC4" w:rsidP="00ED5CC4">
            <w:pPr>
              <w:overflowPunct/>
              <w:autoSpaceDE/>
              <w:autoSpaceDN/>
              <w:adjustRightInd/>
              <w:spacing w:after="0"/>
              <w:jc w:val="center"/>
              <w:textAlignment w:val="auto"/>
              <w:rPr>
                <w:rFonts w:ascii="Calibri" w:hAnsi="Calibri" w:cs="Calibri"/>
                <w:b/>
                <w:bCs/>
                <w:color w:val="000000"/>
                <w:sz w:val="18"/>
                <w:szCs w:val="18"/>
                <w:lang w:val="en-US" w:eastAsia="en-US"/>
              </w:rPr>
            </w:pPr>
            <w:r w:rsidRPr="00ED5CC4">
              <w:rPr>
                <w:rFonts w:ascii="Calibri" w:hAnsi="Calibri" w:cs="Calibri"/>
                <w:b/>
                <w:bCs/>
                <w:color w:val="000000"/>
                <w:sz w:val="18"/>
                <w:szCs w:val="18"/>
                <w:lang w:val="en-US" w:eastAsia="en-US"/>
              </w:rPr>
              <w:t>75</w:t>
            </w:r>
          </w:p>
        </w:tc>
        <w:tc>
          <w:tcPr>
            <w:tcW w:w="641" w:type="dxa"/>
            <w:tcBorders>
              <w:top w:val="nil"/>
              <w:left w:val="nil"/>
              <w:bottom w:val="single" w:sz="4" w:space="0" w:color="auto"/>
              <w:right w:val="single" w:sz="4" w:space="0" w:color="auto"/>
            </w:tcBorders>
            <w:shd w:val="clear" w:color="auto" w:fill="auto"/>
            <w:noWrap/>
            <w:vAlign w:val="center"/>
            <w:hideMark/>
          </w:tcPr>
          <w:p w14:paraId="263A0EB6" w14:textId="77777777" w:rsidR="00ED5CC4" w:rsidRPr="00ED5CC4" w:rsidRDefault="00ED5CC4" w:rsidP="00ED5CC4">
            <w:pPr>
              <w:overflowPunct/>
              <w:autoSpaceDE/>
              <w:autoSpaceDN/>
              <w:adjustRightInd/>
              <w:spacing w:after="0"/>
              <w:jc w:val="center"/>
              <w:textAlignment w:val="auto"/>
              <w:rPr>
                <w:rFonts w:ascii="Calibri" w:hAnsi="Calibri" w:cs="Calibri"/>
                <w:b/>
                <w:bCs/>
                <w:color w:val="000000"/>
                <w:sz w:val="18"/>
                <w:szCs w:val="18"/>
                <w:lang w:val="en-US" w:eastAsia="en-US"/>
              </w:rPr>
            </w:pPr>
            <w:r w:rsidRPr="00ED5CC4">
              <w:rPr>
                <w:rFonts w:ascii="Calibri" w:hAnsi="Calibri" w:cs="Calibri"/>
                <w:b/>
                <w:bCs/>
                <w:color w:val="000000"/>
                <w:sz w:val="18"/>
                <w:szCs w:val="18"/>
                <w:lang w:val="en-US" w:eastAsia="en-US"/>
              </w:rPr>
              <w:t>692.5</w:t>
            </w:r>
          </w:p>
        </w:tc>
        <w:tc>
          <w:tcPr>
            <w:tcW w:w="639" w:type="dxa"/>
            <w:tcBorders>
              <w:top w:val="nil"/>
              <w:left w:val="nil"/>
              <w:bottom w:val="single" w:sz="4" w:space="0" w:color="auto"/>
              <w:right w:val="single" w:sz="4" w:space="0" w:color="auto"/>
            </w:tcBorders>
            <w:shd w:val="clear" w:color="auto" w:fill="auto"/>
            <w:noWrap/>
            <w:vAlign w:val="center"/>
            <w:hideMark/>
          </w:tcPr>
          <w:p w14:paraId="1C5318D0"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692.5</w:t>
            </w:r>
          </w:p>
        </w:tc>
        <w:tc>
          <w:tcPr>
            <w:tcW w:w="460" w:type="dxa"/>
            <w:tcBorders>
              <w:top w:val="nil"/>
              <w:left w:val="nil"/>
              <w:bottom w:val="single" w:sz="4" w:space="0" w:color="auto"/>
              <w:right w:val="single" w:sz="4" w:space="0" w:color="auto"/>
            </w:tcBorders>
            <w:shd w:val="clear" w:color="000000" w:fill="B4C6E7"/>
            <w:vAlign w:val="center"/>
            <w:hideMark/>
          </w:tcPr>
          <w:p w14:paraId="3AEB9BFC" w14:textId="77777777" w:rsidR="00ED5CC4" w:rsidRPr="00ED5CC4" w:rsidRDefault="00ED5CC4" w:rsidP="00ED5CC4">
            <w:pPr>
              <w:overflowPunct/>
              <w:autoSpaceDE/>
              <w:autoSpaceDN/>
              <w:adjustRightInd/>
              <w:spacing w:after="0"/>
              <w:jc w:val="center"/>
              <w:textAlignment w:val="auto"/>
              <w:rPr>
                <w:rFonts w:ascii="Calibri" w:hAnsi="Calibri" w:cs="Calibri"/>
                <w:b/>
                <w:bCs/>
                <w:color w:val="000000"/>
                <w:sz w:val="18"/>
                <w:szCs w:val="18"/>
                <w:lang w:val="en-US" w:eastAsia="en-US"/>
              </w:rPr>
            </w:pPr>
            <w:r w:rsidRPr="00ED5CC4">
              <w:rPr>
                <w:rFonts w:ascii="Calibri" w:hAnsi="Calibri" w:cs="Calibri"/>
                <w:b/>
                <w:bCs/>
                <w:color w:val="000000"/>
                <w:sz w:val="18"/>
                <w:szCs w:val="18"/>
                <w:lang w:val="en-US" w:eastAsia="en-US"/>
              </w:rPr>
              <w:t>270</w:t>
            </w:r>
          </w:p>
        </w:tc>
        <w:tc>
          <w:tcPr>
            <w:tcW w:w="640" w:type="dxa"/>
            <w:tcBorders>
              <w:top w:val="nil"/>
              <w:left w:val="nil"/>
              <w:bottom w:val="single" w:sz="4" w:space="0" w:color="auto"/>
              <w:right w:val="single" w:sz="4" w:space="0" w:color="auto"/>
            </w:tcBorders>
            <w:shd w:val="clear" w:color="000000" w:fill="DDEBF7"/>
            <w:vAlign w:val="center"/>
            <w:hideMark/>
          </w:tcPr>
          <w:p w14:paraId="7BCBE3C4" w14:textId="77777777" w:rsidR="00ED5CC4" w:rsidRPr="00ED5CC4" w:rsidRDefault="00ED5CC4" w:rsidP="00ED5CC4">
            <w:pPr>
              <w:overflowPunct/>
              <w:autoSpaceDE/>
              <w:autoSpaceDN/>
              <w:adjustRightInd/>
              <w:spacing w:after="0"/>
              <w:jc w:val="center"/>
              <w:textAlignment w:val="auto"/>
              <w:rPr>
                <w:rFonts w:ascii="Calibri" w:hAnsi="Calibri" w:cs="Calibri"/>
                <w:b/>
                <w:bCs/>
                <w:color w:val="000000"/>
                <w:sz w:val="18"/>
                <w:szCs w:val="18"/>
                <w:lang w:val="en-US" w:eastAsia="en-US"/>
              </w:rPr>
            </w:pPr>
            <w:r w:rsidRPr="00ED5CC4">
              <w:rPr>
                <w:rFonts w:ascii="Calibri" w:hAnsi="Calibri" w:cs="Calibri"/>
                <w:b/>
                <w:bCs/>
                <w:color w:val="000000"/>
                <w:sz w:val="18"/>
                <w:szCs w:val="18"/>
                <w:lang w:val="en-US" w:eastAsia="en-US"/>
              </w:rPr>
              <w:t>135</w:t>
            </w:r>
          </w:p>
        </w:tc>
        <w:tc>
          <w:tcPr>
            <w:tcW w:w="420" w:type="dxa"/>
            <w:tcBorders>
              <w:top w:val="nil"/>
              <w:left w:val="nil"/>
              <w:bottom w:val="single" w:sz="4" w:space="0" w:color="auto"/>
              <w:right w:val="single" w:sz="4" w:space="0" w:color="auto"/>
            </w:tcBorders>
            <w:shd w:val="clear" w:color="000000" w:fill="00B050"/>
            <w:vAlign w:val="center"/>
            <w:hideMark/>
          </w:tcPr>
          <w:p w14:paraId="57EDD282" w14:textId="77777777" w:rsidR="00ED5CC4" w:rsidRPr="00ED5CC4" w:rsidRDefault="00ED5CC4" w:rsidP="00ED5CC4">
            <w:pPr>
              <w:overflowPunct/>
              <w:autoSpaceDE/>
              <w:autoSpaceDN/>
              <w:adjustRightInd/>
              <w:spacing w:after="0"/>
              <w:jc w:val="center"/>
              <w:textAlignment w:val="auto"/>
              <w:rPr>
                <w:rFonts w:ascii="Calibri" w:hAnsi="Calibri" w:cs="Calibri"/>
                <w:b/>
                <w:bCs/>
                <w:color w:val="000000"/>
                <w:sz w:val="18"/>
                <w:szCs w:val="18"/>
                <w:lang w:val="en-US" w:eastAsia="en-US"/>
              </w:rPr>
            </w:pPr>
            <w:r w:rsidRPr="00ED5CC4">
              <w:rPr>
                <w:rFonts w:ascii="Calibri" w:hAnsi="Calibri" w:cs="Calibri"/>
                <w:b/>
                <w:bCs/>
                <w:color w:val="000000"/>
                <w:sz w:val="18"/>
                <w:szCs w:val="18"/>
                <w:lang w:val="en-US" w:eastAsia="en-US"/>
              </w:rPr>
              <w:t>540</w:t>
            </w:r>
          </w:p>
        </w:tc>
        <w:tc>
          <w:tcPr>
            <w:tcW w:w="460" w:type="dxa"/>
            <w:tcBorders>
              <w:top w:val="nil"/>
              <w:left w:val="nil"/>
              <w:bottom w:val="single" w:sz="4" w:space="0" w:color="auto"/>
              <w:right w:val="single" w:sz="4" w:space="0" w:color="auto"/>
            </w:tcBorders>
            <w:shd w:val="clear" w:color="000000" w:fill="00B050"/>
            <w:vAlign w:val="center"/>
            <w:hideMark/>
          </w:tcPr>
          <w:p w14:paraId="59B1AC40" w14:textId="77777777" w:rsidR="00ED5CC4" w:rsidRPr="00ED5CC4" w:rsidRDefault="00ED5CC4" w:rsidP="00ED5CC4">
            <w:pPr>
              <w:overflowPunct/>
              <w:autoSpaceDE/>
              <w:autoSpaceDN/>
              <w:adjustRightInd/>
              <w:spacing w:after="0"/>
              <w:jc w:val="center"/>
              <w:textAlignment w:val="auto"/>
              <w:rPr>
                <w:rFonts w:ascii="Calibri" w:hAnsi="Calibri" w:cs="Calibri"/>
                <w:b/>
                <w:bCs/>
                <w:color w:val="000000"/>
                <w:sz w:val="18"/>
                <w:szCs w:val="18"/>
                <w:lang w:val="en-US" w:eastAsia="en-US"/>
              </w:rPr>
            </w:pPr>
            <w:r w:rsidRPr="00ED5CC4">
              <w:rPr>
                <w:rFonts w:ascii="Calibri" w:hAnsi="Calibri" w:cs="Calibri"/>
                <w:b/>
                <w:bCs/>
                <w:color w:val="000000"/>
                <w:sz w:val="18"/>
                <w:szCs w:val="18"/>
                <w:lang w:val="en-US" w:eastAsia="en-US"/>
              </w:rPr>
              <w:t>405</w:t>
            </w:r>
          </w:p>
        </w:tc>
        <w:tc>
          <w:tcPr>
            <w:tcW w:w="620" w:type="dxa"/>
            <w:tcBorders>
              <w:top w:val="nil"/>
              <w:left w:val="nil"/>
              <w:bottom w:val="single" w:sz="4" w:space="0" w:color="auto"/>
              <w:right w:val="single" w:sz="4" w:space="0" w:color="auto"/>
            </w:tcBorders>
            <w:shd w:val="clear" w:color="auto" w:fill="auto"/>
            <w:vAlign w:val="center"/>
            <w:hideMark/>
          </w:tcPr>
          <w:p w14:paraId="102A0A17"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845.0</w:t>
            </w:r>
          </w:p>
        </w:tc>
        <w:tc>
          <w:tcPr>
            <w:tcW w:w="620" w:type="dxa"/>
            <w:tcBorders>
              <w:top w:val="nil"/>
              <w:left w:val="nil"/>
              <w:bottom w:val="single" w:sz="4" w:space="0" w:color="auto"/>
              <w:right w:val="single" w:sz="4" w:space="0" w:color="auto"/>
            </w:tcBorders>
            <w:shd w:val="clear" w:color="auto" w:fill="auto"/>
            <w:vAlign w:val="center"/>
            <w:hideMark/>
          </w:tcPr>
          <w:p w14:paraId="37D1CAFB"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925.0</w:t>
            </w:r>
          </w:p>
        </w:tc>
        <w:tc>
          <w:tcPr>
            <w:tcW w:w="660" w:type="dxa"/>
            <w:tcBorders>
              <w:top w:val="nil"/>
              <w:left w:val="nil"/>
              <w:bottom w:val="single" w:sz="4" w:space="0" w:color="auto"/>
              <w:right w:val="single" w:sz="4" w:space="0" w:color="auto"/>
            </w:tcBorders>
            <w:shd w:val="clear" w:color="auto" w:fill="auto"/>
            <w:vAlign w:val="center"/>
            <w:hideMark/>
          </w:tcPr>
          <w:p w14:paraId="0664C29F"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98.905</w:t>
            </w:r>
          </w:p>
        </w:tc>
        <w:tc>
          <w:tcPr>
            <w:tcW w:w="720" w:type="dxa"/>
            <w:tcBorders>
              <w:top w:val="nil"/>
              <w:left w:val="nil"/>
              <w:bottom w:val="single" w:sz="4" w:space="0" w:color="auto"/>
              <w:right w:val="single" w:sz="4" w:space="0" w:color="auto"/>
            </w:tcBorders>
            <w:shd w:val="clear" w:color="auto" w:fill="auto"/>
            <w:vAlign w:val="center"/>
            <w:hideMark/>
          </w:tcPr>
          <w:p w14:paraId="628B1385"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74.765</w:t>
            </w:r>
          </w:p>
        </w:tc>
      </w:tr>
      <w:tr w:rsidR="00ED5CC4" w:rsidRPr="00ED5CC4" w14:paraId="080DB987" w14:textId="77777777" w:rsidTr="00ED5CC4">
        <w:trPr>
          <w:trHeight w:val="240"/>
          <w:jc w:val="center"/>
        </w:trPr>
        <w:tc>
          <w:tcPr>
            <w:tcW w:w="519" w:type="dxa"/>
            <w:vMerge w:val="restart"/>
            <w:tcBorders>
              <w:top w:val="nil"/>
              <w:left w:val="single" w:sz="4" w:space="0" w:color="auto"/>
              <w:bottom w:val="single" w:sz="4" w:space="0" w:color="auto"/>
              <w:right w:val="single" w:sz="4" w:space="0" w:color="auto"/>
            </w:tcBorders>
            <w:shd w:val="clear" w:color="auto" w:fill="auto"/>
            <w:vAlign w:val="center"/>
            <w:hideMark/>
          </w:tcPr>
          <w:p w14:paraId="0D827C18"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30</w:t>
            </w:r>
          </w:p>
        </w:tc>
        <w:tc>
          <w:tcPr>
            <w:tcW w:w="432" w:type="dxa"/>
            <w:tcBorders>
              <w:top w:val="nil"/>
              <w:left w:val="nil"/>
              <w:bottom w:val="single" w:sz="4" w:space="0" w:color="auto"/>
              <w:right w:val="single" w:sz="4" w:space="0" w:color="auto"/>
            </w:tcBorders>
            <w:shd w:val="clear" w:color="auto" w:fill="auto"/>
            <w:noWrap/>
            <w:vAlign w:val="center"/>
            <w:hideMark/>
          </w:tcPr>
          <w:p w14:paraId="61DF5B44"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5</w:t>
            </w:r>
          </w:p>
        </w:tc>
        <w:tc>
          <w:tcPr>
            <w:tcW w:w="432" w:type="dxa"/>
            <w:tcBorders>
              <w:top w:val="nil"/>
              <w:left w:val="nil"/>
              <w:bottom w:val="single" w:sz="4" w:space="0" w:color="auto"/>
              <w:right w:val="single" w:sz="4" w:space="0" w:color="auto"/>
            </w:tcBorders>
            <w:shd w:val="clear" w:color="000000" w:fill="1F4E78"/>
            <w:noWrap/>
            <w:vAlign w:val="center"/>
            <w:hideMark/>
          </w:tcPr>
          <w:p w14:paraId="50BD2288" w14:textId="77777777" w:rsidR="00ED5CC4" w:rsidRPr="00ED5CC4" w:rsidRDefault="00ED5CC4" w:rsidP="00ED5CC4">
            <w:pPr>
              <w:overflowPunct/>
              <w:autoSpaceDE/>
              <w:autoSpaceDN/>
              <w:adjustRightInd/>
              <w:spacing w:after="0"/>
              <w:jc w:val="center"/>
              <w:textAlignment w:val="auto"/>
              <w:rPr>
                <w:rFonts w:ascii="Calibri" w:hAnsi="Calibri" w:cs="Calibri"/>
                <w:b/>
                <w:bCs/>
                <w:color w:val="000000"/>
                <w:sz w:val="18"/>
                <w:szCs w:val="18"/>
                <w:lang w:val="en-US" w:eastAsia="en-US"/>
              </w:rPr>
            </w:pPr>
            <w:r w:rsidRPr="00ED5CC4">
              <w:rPr>
                <w:rFonts w:ascii="Calibri" w:hAnsi="Calibri" w:cs="Calibri"/>
                <w:b/>
                <w:bCs/>
                <w:color w:val="000000"/>
                <w:sz w:val="18"/>
                <w:szCs w:val="18"/>
                <w:lang w:val="en-US" w:eastAsia="en-US"/>
              </w:rPr>
              <w:t>10</w:t>
            </w:r>
          </w:p>
        </w:tc>
        <w:tc>
          <w:tcPr>
            <w:tcW w:w="497" w:type="dxa"/>
            <w:tcBorders>
              <w:top w:val="nil"/>
              <w:left w:val="nil"/>
              <w:bottom w:val="single" w:sz="4" w:space="0" w:color="auto"/>
              <w:right w:val="single" w:sz="4" w:space="0" w:color="auto"/>
            </w:tcBorders>
            <w:shd w:val="clear" w:color="000000" w:fill="1F4E78"/>
            <w:noWrap/>
            <w:vAlign w:val="center"/>
            <w:hideMark/>
          </w:tcPr>
          <w:p w14:paraId="02E2ABA7" w14:textId="77777777" w:rsidR="00ED5CC4" w:rsidRPr="00ED5CC4" w:rsidRDefault="00ED5CC4" w:rsidP="00ED5CC4">
            <w:pPr>
              <w:overflowPunct/>
              <w:autoSpaceDE/>
              <w:autoSpaceDN/>
              <w:adjustRightInd/>
              <w:spacing w:after="0"/>
              <w:jc w:val="center"/>
              <w:textAlignment w:val="auto"/>
              <w:rPr>
                <w:rFonts w:ascii="Calibri" w:hAnsi="Calibri" w:cs="Calibri"/>
                <w:b/>
                <w:bCs/>
                <w:color w:val="000000"/>
                <w:sz w:val="18"/>
                <w:szCs w:val="18"/>
                <w:lang w:val="en-US" w:eastAsia="en-US"/>
              </w:rPr>
            </w:pPr>
            <w:r w:rsidRPr="00ED5CC4">
              <w:rPr>
                <w:rFonts w:ascii="Calibri" w:hAnsi="Calibri" w:cs="Calibri"/>
                <w:b/>
                <w:bCs/>
                <w:color w:val="000000"/>
                <w:sz w:val="18"/>
                <w:szCs w:val="18"/>
                <w:lang w:val="en-US" w:eastAsia="en-US"/>
              </w:rPr>
              <w:t>7.5</w:t>
            </w:r>
          </w:p>
        </w:tc>
        <w:tc>
          <w:tcPr>
            <w:tcW w:w="641" w:type="dxa"/>
            <w:tcBorders>
              <w:top w:val="nil"/>
              <w:left w:val="nil"/>
              <w:bottom w:val="single" w:sz="4" w:space="0" w:color="auto"/>
              <w:right w:val="single" w:sz="4" w:space="0" w:color="auto"/>
            </w:tcBorders>
            <w:shd w:val="clear" w:color="auto" w:fill="auto"/>
            <w:noWrap/>
            <w:vAlign w:val="center"/>
            <w:hideMark/>
          </w:tcPr>
          <w:p w14:paraId="4CDFDCE4"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505</w:t>
            </w:r>
          </w:p>
        </w:tc>
        <w:tc>
          <w:tcPr>
            <w:tcW w:w="639" w:type="dxa"/>
            <w:tcBorders>
              <w:top w:val="nil"/>
              <w:left w:val="nil"/>
              <w:bottom w:val="single" w:sz="4" w:space="0" w:color="auto"/>
              <w:right w:val="single" w:sz="4" w:space="0" w:color="auto"/>
            </w:tcBorders>
            <w:shd w:val="clear" w:color="auto" w:fill="auto"/>
            <w:noWrap/>
            <w:vAlign w:val="center"/>
            <w:hideMark/>
          </w:tcPr>
          <w:p w14:paraId="4329EBA6"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665</w:t>
            </w:r>
          </w:p>
        </w:tc>
        <w:tc>
          <w:tcPr>
            <w:tcW w:w="460" w:type="dxa"/>
            <w:tcBorders>
              <w:top w:val="nil"/>
              <w:left w:val="nil"/>
              <w:bottom w:val="single" w:sz="4" w:space="0" w:color="auto"/>
              <w:right w:val="single" w:sz="4" w:space="0" w:color="auto"/>
            </w:tcBorders>
            <w:shd w:val="clear" w:color="000000" w:fill="B4C6E7"/>
            <w:vAlign w:val="center"/>
            <w:hideMark/>
          </w:tcPr>
          <w:p w14:paraId="3A422176"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11</w:t>
            </w:r>
          </w:p>
        </w:tc>
        <w:tc>
          <w:tcPr>
            <w:tcW w:w="640" w:type="dxa"/>
            <w:tcBorders>
              <w:top w:val="nil"/>
              <w:left w:val="nil"/>
              <w:bottom w:val="single" w:sz="4" w:space="0" w:color="auto"/>
              <w:right w:val="single" w:sz="4" w:space="0" w:color="auto"/>
            </w:tcBorders>
            <w:shd w:val="clear" w:color="000000" w:fill="DDEBF7"/>
            <w:vAlign w:val="center"/>
            <w:hideMark/>
          </w:tcPr>
          <w:p w14:paraId="160A83C3"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6</w:t>
            </w:r>
          </w:p>
        </w:tc>
        <w:tc>
          <w:tcPr>
            <w:tcW w:w="420" w:type="dxa"/>
            <w:tcBorders>
              <w:top w:val="nil"/>
              <w:left w:val="nil"/>
              <w:bottom w:val="single" w:sz="4" w:space="0" w:color="auto"/>
              <w:right w:val="single" w:sz="4" w:space="0" w:color="auto"/>
            </w:tcBorders>
            <w:shd w:val="clear" w:color="000000" w:fill="92D050"/>
            <w:vAlign w:val="center"/>
            <w:hideMark/>
          </w:tcPr>
          <w:p w14:paraId="2C6D85CA"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23</w:t>
            </w:r>
          </w:p>
        </w:tc>
        <w:tc>
          <w:tcPr>
            <w:tcW w:w="460" w:type="dxa"/>
            <w:tcBorders>
              <w:top w:val="nil"/>
              <w:left w:val="nil"/>
              <w:bottom w:val="single" w:sz="4" w:space="0" w:color="auto"/>
              <w:right w:val="single" w:sz="4" w:space="0" w:color="auto"/>
            </w:tcBorders>
            <w:shd w:val="clear" w:color="000000" w:fill="00B050"/>
            <w:vAlign w:val="center"/>
            <w:hideMark/>
          </w:tcPr>
          <w:p w14:paraId="00B267D6"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17</w:t>
            </w:r>
          </w:p>
        </w:tc>
        <w:tc>
          <w:tcPr>
            <w:tcW w:w="620" w:type="dxa"/>
            <w:tcBorders>
              <w:top w:val="nil"/>
              <w:left w:val="nil"/>
              <w:bottom w:val="single" w:sz="4" w:space="0" w:color="auto"/>
              <w:right w:val="single" w:sz="4" w:space="0" w:color="auto"/>
            </w:tcBorders>
            <w:shd w:val="clear" w:color="auto" w:fill="auto"/>
            <w:vAlign w:val="center"/>
            <w:hideMark/>
          </w:tcPr>
          <w:p w14:paraId="57461ADD"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665.0</w:t>
            </w:r>
          </w:p>
        </w:tc>
        <w:tc>
          <w:tcPr>
            <w:tcW w:w="620" w:type="dxa"/>
            <w:tcBorders>
              <w:top w:val="nil"/>
              <w:left w:val="nil"/>
              <w:bottom w:val="single" w:sz="4" w:space="0" w:color="auto"/>
              <w:right w:val="single" w:sz="4" w:space="0" w:color="auto"/>
            </w:tcBorders>
            <w:shd w:val="clear" w:color="auto" w:fill="auto"/>
            <w:vAlign w:val="center"/>
            <w:hideMark/>
          </w:tcPr>
          <w:p w14:paraId="37816AE0"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665.0</w:t>
            </w:r>
          </w:p>
        </w:tc>
        <w:tc>
          <w:tcPr>
            <w:tcW w:w="660" w:type="dxa"/>
            <w:tcBorders>
              <w:top w:val="nil"/>
              <w:left w:val="nil"/>
              <w:bottom w:val="single" w:sz="4" w:space="0" w:color="auto"/>
              <w:right w:val="single" w:sz="4" w:space="0" w:color="auto"/>
            </w:tcBorders>
            <w:shd w:val="clear" w:color="auto" w:fill="auto"/>
            <w:vAlign w:val="center"/>
            <w:hideMark/>
          </w:tcPr>
          <w:p w14:paraId="7AEDE977"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9.64</w:t>
            </w:r>
          </w:p>
        </w:tc>
        <w:tc>
          <w:tcPr>
            <w:tcW w:w="720" w:type="dxa"/>
            <w:tcBorders>
              <w:top w:val="nil"/>
              <w:left w:val="nil"/>
              <w:bottom w:val="single" w:sz="4" w:space="0" w:color="auto"/>
              <w:right w:val="single" w:sz="4" w:space="0" w:color="auto"/>
            </w:tcBorders>
            <w:shd w:val="clear" w:color="auto" w:fill="auto"/>
            <w:vAlign w:val="center"/>
            <w:hideMark/>
          </w:tcPr>
          <w:p w14:paraId="14226F1F"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7.48</w:t>
            </w:r>
          </w:p>
        </w:tc>
      </w:tr>
      <w:tr w:rsidR="00ED5CC4" w:rsidRPr="00ED5CC4" w14:paraId="27232A88" w14:textId="77777777" w:rsidTr="00ED5CC4">
        <w:trPr>
          <w:trHeight w:val="240"/>
          <w:jc w:val="center"/>
        </w:trPr>
        <w:tc>
          <w:tcPr>
            <w:tcW w:w="519" w:type="dxa"/>
            <w:vMerge/>
            <w:tcBorders>
              <w:top w:val="nil"/>
              <w:left w:val="single" w:sz="4" w:space="0" w:color="auto"/>
              <w:bottom w:val="single" w:sz="4" w:space="0" w:color="auto"/>
              <w:right w:val="single" w:sz="4" w:space="0" w:color="auto"/>
            </w:tcBorders>
            <w:vAlign w:val="center"/>
            <w:hideMark/>
          </w:tcPr>
          <w:p w14:paraId="11932B8A" w14:textId="77777777" w:rsidR="00ED5CC4" w:rsidRPr="00ED5CC4" w:rsidRDefault="00ED5CC4" w:rsidP="00ED5CC4">
            <w:pPr>
              <w:overflowPunct/>
              <w:autoSpaceDE/>
              <w:autoSpaceDN/>
              <w:adjustRightInd/>
              <w:spacing w:after="0"/>
              <w:textAlignment w:val="auto"/>
              <w:rPr>
                <w:rFonts w:ascii="Calibri" w:hAnsi="Calibri" w:cs="Calibri"/>
                <w:color w:val="000000"/>
                <w:sz w:val="18"/>
                <w:szCs w:val="18"/>
                <w:lang w:val="en-US" w:eastAsia="en-US"/>
              </w:rPr>
            </w:pPr>
          </w:p>
        </w:tc>
        <w:tc>
          <w:tcPr>
            <w:tcW w:w="432" w:type="dxa"/>
            <w:tcBorders>
              <w:top w:val="nil"/>
              <w:left w:val="nil"/>
              <w:bottom w:val="single" w:sz="4" w:space="0" w:color="auto"/>
              <w:right w:val="single" w:sz="4" w:space="0" w:color="auto"/>
            </w:tcBorders>
            <w:shd w:val="clear" w:color="000000" w:fill="1F4E78"/>
            <w:noWrap/>
            <w:vAlign w:val="center"/>
            <w:hideMark/>
          </w:tcPr>
          <w:p w14:paraId="55FA0926" w14:textId="77777777" w:rsidR="00ED5CC4" w:rsidRPr="00ED5CC4" w:rsidRDefault="00ED5CC4" w:rsidP="00ED5CC4">
            <w:pPr>
              <w:overflowPunct/>
              <w:autoSpaceDE/>
              <w:autoSpaceDN/>
              <w:adjustRightInd/>
              <w:spacing w:after="0"/>
              <w:jc w:val="center"/>
              <w:textAlignment w:val="auto"/>
              <w:rPr>
                <w:rFonts w:ascii="Calibri" w:hAnsi="Calibri" w:cs="Calibri"/>
                <w:b/>
                <w:bCs/>
                <w:color w:val="000000"/>
                <w:sz w:val="18"/>
                <w:szCs w:val="18"/>
                <w:lang w:val="en-US" w:eastAsia="en-US"/>
              </w:rPr>
            </w:pPr>
            <w:r w:rsidRPr="00ED5CC4">
              <w:rPr>
                <w:rFonts w:ascii="Calibri" w:hAnsi="Calibri" w:cs="Calibri"/>
                <w:b/>
                <w:bCs/>
                <w:color w:val="000000"/>
                <w:sz w:val="18"/>
                <w:szCs w:val="18"/>
                <w:lang w:val="en-US" w:eastAsia="en-US"/>
              </w:rPr>
              <w:t>10</w:t>
            </w:r>
          </w:p>
        </w:tc>
        <w:tc>
          <w:tcPr>
            <w:tcW w:w="432" w:type="dxa"/>
            <w:tcBorders>
              <w:top w:val="nil"/>
              <w:left w:val="nil"/>
              <w:bottom w:val="single" w:sz="4" w:space="0" w:color="auto"/>
              <w:right w:val="single" w:sz="4" w:space="0" w:color="auto"/>
            </w:tcBorders>
            <w:shd w:val="clear" w:color="000000" w:fill="5B9BD5"/>
            <w:noWrap/>
            <w:vAlign w:val="center"/>
            <w:hideMark/>
          </w:tcPr>
          <w:p w14:paraId="743DE399" w14:textId="77777777" w:rsidR="00ED5CC4" w:rsidRPr="00ED5CC4" w:rsidRDefault="00ED5CC4" w:rsidP="00ED5CC4">
            <w:pPr>
              <w:overflowPunct/>
              <w:autoSpaceDE/>
              <w:autoSpaceDN/>
              <w:adjustRightInd/>
              <w:spacing w:after="0"/>
              <w:jc w:val="center"/>
              <w:textAlignment w:val="auto"/>
              <w:rPr>
                <w:rFonts w:ascii="Calibri" w:hAnsi="Calibri" w:cs="Calibri"/>
                <w:b/>
                <w:bCs/>
                <w:color w:val="000000"/>
                <w:sz w:val="18"/>
                <w:szCs w:val="18"/>
                <w:lang w:val="en-US" w:eastAsia="en-US"/>
              </w:rPr>
            </w:pPr>
            <w:r w:rsidRPr="00ED5CC4">
              <w:rPr>
                <w:rFonts w:ascii="Calibri" w:hAnsi="Calibri" w:cs="Calibri"/>
                <w:b/>
                <w:bCs/>
                <w:color w:val="000000"/>
                <w:sz w:val="18"/>
                <w:szCs w:val="18"/>
                <w:lang w:val="en-US" w:eastAsia="en-US"/>
              </w:rPr>
              <w:t>20</w:t>
            </w:r>
          </w:p>
        </w:tc>
        <w:tc>
          <w:tcPr>
            <w:tcW w:w="497" w:type="dxa"/>
            <w:tcBorders>
              <w:top w:val="nil"/>
              <w:left w:val="nil"/>
              <w:bottom w:val="single" w:sz="4" w:space="0" w:color="auto"/>
              <w:right w:val="single" w:sz="4" w:space="0" w:color="auto"/>
            </w:tcBorders>
            <w:shd w:val="clear" w:color="000000" w:fill="2F75B5"/>
            <w:noWrap/>
            <w:vAlign w:val="center"/>
            <w:hideMark/>
          </w:tcPr>
          <w:p w14:paraId="05515AE6" w14:textId="77777777" w:rsidR="00ED5CC4" w:rsidRPr="00ED5CC4" w:rsidRDefault="00ED5CC4" w:rsidP="00ED5CC4">
            <w:pPr>
              <w:overflowPunct/>
              <w:autoSpaceDE/>
              <w:autoSpaceDN/>
              <w:adjustRightInd/>
              <w:spacing w:after="0"/>
              <w:jc w:val="center"/>
              <w:textAlignment w:val="auto"/>
              <w:rPr>
                <w:rFonts w:ascii="Calibri" w:hAnsi="Calibri" w:cs="Calibri"/>
                <w:b/>
                <w:bCs/>
                <w:color w:val="000000"/>
                <w:sz w:val="18"/>
                <w:szCs w:val="18"/>
                <w:lang w:val="en-US" w:eastAsia="en-US"/>
              </w:rPr>
            </w:pPr>
            <w:r w:rsidRPr="00ED5CC4">
              <w:rPr>
                <w:rFonts w:ascii="Calibri" w:hAnsi="Calibri" w:cs="Calibri"/>
                <w:b/>
                <w:bCs/>
                <w:color w:val="000000"/>
                <w:sz w:val="18"/>
                <w:szCs w:val="18"/>
                <w:lang w:val="en-US" w:eastAsia="en-US"/>
              </w:rPr>
              <w:t>15</w:t>
            </w:r>
          </w:p>
        </w:tc>
        <w:tc>
          <w:tcPr>
            <w:tcW w:w="641" w:type="dxa"/>
            <w:tcBorders>
              <w:top w:val="nil"/>
              <w:left w:val="nil"/>
              <w:bottom w:val="single" w:sz="4" w:space="0" w:color="auto"/>
              <w:right w:val="single" w:sz="4" w:space="0" w:color="auto"/>
            </w:tcBorders>
            <w:shd w:val="clear" w:color="auto" w:fill="auto"/>
            <w:noWrap/>
            <w:vAlign w:val="center"/>
            <w:hideMark/>
          </w:tcPr>
          <w:p w14:paraId="1D18D5D7" w14:textId="77777777" w:rsidR="00ED5CC4" w:rsidRPr="00ED5CC4" w:rsidRDefault="00ED5CC4" w:rsidP="00ED5CC4">
            <w:pPr>
              <w:overflowPunct/>
              <w:autoSpaceDE/>
              <w:autoSpaceDN/>
              <w:adjustRightInd/>
              <w:spacing w:after="0"/>
              <w:jc w:val="center"/>
              <w:textAlignment w:val="auto"/>
              <w:rPr>
                <w:rFonts w:ascii="Calibri" w:hAnsi="Calibri" w:cs="Calibri"/>
                <w:b/>
                <w:bCs/>
                <w:color w:val="000000"/>
                <w:sz w:val="18"/>
                <w:szCs w:val="18"/>
                <w:lang w:val="en-US" w:eastAsia="en-US"/>
              </w:rPr>
            </w:pPr>
            <w:r w:rsidRPr="00ED5CC4">
              <w:rPr>
                <w:rFonts w:ascii="Calibri" w:hAnsi="Calibri" w:cs="Calibri"/>
                <w:b/>
                <w:bCs/>
                <w:color w:val="000000"/>
                <w:sz w:val="18"/>
                <w:szCs w:val="18"/>
                <w:lang w:val="en-US" w:eastAsia="en-US"/>
              </w:rPr>
              <w:t>665</w:t>
            </w:r>
          </w:p>
        </w:tc>
        <w:tc>
          <w:tcPr>
            <w:tcW w:w="639" w:type="dxa"/>
            <w:tcBorders>
              <w:top w:val="nil"/>
              <w:left w:val="nil"/>
              <w:bottom w:val="single" w:sz="4" w:space="0" w:color="auto"/>
              <w:right w:val="single" w:sz="4" w:space="0" w:color="auto"/>
            </w:tcBorders>
            <w:shd w:val="clear" w:color="auto" w:fill="auto"/>
            <w:noWrap/>
            <w:vAlign w:val="center"/>
            <w:hideMark/>
          </w:tcPr>
          <w:p w14:paraId="5CD059FE"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665</w:t>
            </w:r>
          </w:p>
        </w:tc>
        <w:tc>
          <w:tcPr>
            <w:tcW w:w="460" w:type="dxa"/>
            <w:tcBorders>
              <w:top w:val="nil"/>
              <w:left w:val="nil"/>
              <w:bottom w:val="single" w:sz="4" w:space="0" w:color="auto"/>
              <w:right w:val="single" w:sz="4" w:space="0" w:color="auto"/>
            </w:tcBorders>
            <w:shd w:val="clear" w:color="000000" w:fill="B4C6E7"/>
            <w:vAlign w:val="center"/>
            <w:hideMark/>
          </w:tcPr>
          <w:p w14:paraId="40194AA7" w14:textId="77777777" w:rsidR="00ED5CC4" w:rsidRPr="00ED5CC4" w:rsidRDefault="00ED5CC4" w:rsidP="00ED5CC4">
            <w:pPr>
              <w:overflowPunct/>
              <w:autoSpaceDE/>
              <w:autoSpaceDN/>
              <w:adjustRightInd/>
              <w:spacing w:after="0"/>
              <w:jc w:val="center"/>
              <w:textAlignment w:val="auto"/>
              <w:rPr>
                <w:rFonts w:ascii="Calibri" w:hAnsi="Calibri" w:cs="Calibri"/>
                <w:b/>
                <w:bCs/>
                <w:color w:val="000000"/>
                <w:sz w:val="18"/>
                <w:szCs w:val="18"/>
                <w:lang w:val="en-US" w:eastAsia="en-US"/>
              </w:rPr>
            </w:pPr>
            <w:r w:rsidRPr="00ED5CC4">
              <w:rPr>
                <w:rFonts w:ascii="Calibri" w:hAnsi="Calibri" w:cs="Calibri"/>
                <w:b/>
                <w:bCs/>
                <w:color w:val="000000"/>
                <w:sz w:val="18"/>
                <w:szCs w:val="18"/>
                <w:lang w:val="en-US" w:eastAsia="en-US"/>
              </w:rPr>
              <w:t>24</w:t>
            </w:r>
          </w:p>
        </w:tc>
        <w:tc>
          <w:tcPr>
            <w:tcW w:w="640" w:type="dxa"/>
            <w:tcBorders>
              <w:top w:val="nil"/>
              <w:left w:val="nil"/>
              <w:bottom w:val="single" w:sz="4" w:space="0" w:color="auto"/>
              <w:right w:val="single" w:sz="4" w:space="0" w:color="auto"/>
            </w:tcBorders>
            <w:shd w:val="clear" w:color="000000" w:fill="DDEBF7"/>
            <w:vAlign w:val="center"/>
            <w:hideMark/>
          </w:tcPr>
          <w:p w14:paraId="2551B94B" w14:textId="77777777" w:rsidR="00ED5CC4" w:rsidRPr="00ED5CC4" w:rsidRDefault="00ED5CC4" w:rsidP="00ED5CC4">
            <w:pPr>
              <w:overflowPunct/>
              <w:autoSpaceDE/>
              <w:autoSpaceDN/>
              <w:adjustRightInd/>
              <w:spacing w:after="0"/>
              <w:jc w:val="center"/>
              <w:textAlignment w:val="auto"/>
              <w:rPr>
                <w:rFonts w:ascii="Calibri" w:hAnsi="Calibri" w:cs="Calibri"/>
                <w:b/>
                <w:bCs/>
                <w:color w:val="000000"/>
                <w:sz w:val="18"/>
                <w:szCs w:val="18"/>
                <w:lang w:val="en-US" w:eastAsia="en-US"/>
              </w:rPr>
            </w:pPr>
            <w:r w:rsidRPr="00ED5CC4">
              <w:rPr>
                <w:rFonts w:ascii="Calibri" w:hAnsi="Calibri" w:cs="Calibri"/>
                <w:b/>
                <w:bCs/>
                <w:color w:val="000000"/>
                <w:sz w:val="18"/>
                <w:szCs w:val="18"/>
                <w:lang w:val="en-US" w:eastAsia="en-US"/>
              </w:rPr>
              <w:t>12</w:t>
            </w:r>
          </w:p>
        </w:tc>
        <w:tc>
          <w:tcPr>
            <w:tcW w:w="420" w:type="dxa"/>
            <w:tcBorders>
              <w:top w:val="nil"/>
              <w:left w:val="nil"/>
              <w:bottom w:val="single" w:sz="4" w:space="0" w:color="auto"/>
              <w:right w:val="single" w:sz="4" w:space="0" w:color="auto"/>
            </w:tcBorders>
            <w:shd w:val="clear" w:color="000000" w:fill="00B050"/>
            <w:vAlign w:val="center"/>
            <w:hideMark/>
          </w:tcPr>
          <w:p w14:paraId="4B3E36CE" w14:textId="77777777" w:rsidR="00ED5CC4" w:rsidRPr="00ED5CC4" w:rsidRDefault="00ED5CC4" w:rsidP="00ED5CC4">
            <w:pPr>
              <w:overflowPunct/>
              <w:autoSpaceDE/>
              <w:autoSpaceDN/>
              <w:adjustRightInd/>
              <w:spacing w:after="0"/>
              <w:jc w:val="center"/>
              <w:textAlignment w:val="auto"/>
              <w:rPr>
                <w:rFonts w:ascii="Calibri" w:hAnsi="Calibri" w:cs="Calibri"/>
                <w:b/>
                <w:bCs/>
                <w:color w:val="000000"/>
                <w:sz w:val="18"/>
                <w:szCs w:val="18"/>
                <w:lang w:val="en-US" w:eastAsia="en-US"/>
              </w:rPr>
            </w:pPr>
            <w:r w:rsidRPr="00ED5CC4">
              <w:rPr>
                <w:rFonts w:ascii="Calibri" w:hAnsi="Calibri" w:cs="Calibri"/>
                <w:b/>
                <w:bCs/>
                <w:color w:val="000000"/>
                <w:sz w:val="18"/>
                <w:szCs w:val="18"/>
                <w:lang w:val="en-US" w:eastAsia="en-US"/>
              </w:rPr>
              <w:t>48</w:t>
            </w:r>
          </w:p>
        </w:tc>
        <w:tc>
          <w:tcPr>
            <w:tcW w:w="460" w:type="dxa"/>
            <w:tcBorders>
              <w:top w:val="nil"/>
              <w:left w:val="nil"/>
              <w:bottom w:val="single" w:sz="4" w:space="0" w:color="auto"/>
              <w:right w:val="single" w:sz="4" w:space="0" w:color="auto"/>
            </w:tcBorders>
            <w:shd w:val="clear" w:color="000000" w:fill="00B050"/>
            <w:vAlign w:val="center"/>
            <w:hideMark/>
          </w:tcPr>
          <w:p w14:paraId="2CC95E65" w14:textId="77777777" w:rsidR="00ED5CC4" w:rsidRPr="00ED5CC4" w:rsidRDefault="00ED5CC4" w:rsidP="00ED5CC4">
            <w:pPr>
              <w:overflowPunct/>
              <w:autoSpaceDE/>
              <w:autoSpaceDN/>
              <w:adjustRightInd/>
              <w:spacing w:after="0"/>
              <w:jc w:val="center"/>
              <w:textAlignment w:val="auto"/>
              <w:rPr>
                <w:rFonts w:ascii="Calibri" w:hAnsi="Calibri" w:cs="Calibri"/>
                <w:b/>
                <w:bCs/>
                <w:color w:val="000000"/>
                <w:sz w:val="18"/>
                <w:szCs w:val="18"/>
                <w:lang w:val="en-US" w:eastAsia="en-US"/>
              </w:rPr>
            </w:pPr>
            <w:r w:rsidRPr="00ED5CC4">
              <w:rPr>
                <w:rFonts w:ascii="Calibri" w:hAnsi="Calibri" w:cs="Calibri"/>
                <w:b/>
                <w:bCs/>
                <w:color w:val="000000"/>
                <w:sz w:val="18"/>
                <w:szCs w:val="18"/>
                <w:lang w:val="en-US" w:eastAsia="en-US"/>
              </w:rPr>
              <w:t>36</w:t>
            </w:r>
          </w:p>
        </w:tc>
        <w:tc>
          <w:tcPr>
            <w:tcW w:w="620" w:type="dxa"/>
            <w:tcBorders>
              <w:top w:val="nil"/>
              <w:left w:val="nil"/>
              <w:bottom w:val="single" w:sz="4" w:space="0" w:color="auto"/>
              <w:right w:val="single" w:sz="4" w:space="0" w:color="auto"/>
            </w:tcBorders>
            <w:shd w:val="clear" w:color="auto" w:fill="auto"/>
            <w:vAlign w:val="center"/>
            <w:hideMark/>
          </w:tcPr>
          <w:p w14:paraId="44370F33"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805.0</w:t>
            </w:r>
          </w:p>
        </w:tc>
        <w:tc>
          <w:tcPr>
            <w:tcW w:w="620" w:type="dxa"/>
            <w:tcBorders>
              <w:top w:val="nil"/>
              <w:left w:val="nil"/>
              <w:bottom w:val="single" w:sz="4" w:space="0" w:color="auto"/>
              <w:right w:val="single" w:sz="4" w:space="0" w:color="auto"/>
            </w:tcBorders>
            <w:shd w:val="clear" w:color="auto" w:fill="auto"/>
            <w:vAlign w:val="center"/>
            <w:hideMark/>
          </w:tcPr>
          <w:p w14:paraId="0F4EEE73"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645.0</w:t>
            </w:r>
          </w:p>
        </w:tc>
        <w:tc>
          <w:tcPr>
            <w:tcW w:w="660" w:type="dxa"/>
            <w:tcBorders>
              <w:top w:val="nil"/>
              <w:left w:val="nil"/>
              <w:bottom w:val="single" w:sz="4" w:space="0" w:color="auto"/>
              <w:right w:val="single" w:sz="4" w:space="0" w:color="auto"/>
            </w:tcBorders>
            <w:shd w:val="clear" w:color="auto" w:fill="auto"/>
            <w:vAlign w:val="center"/>
            <w:hideMark/>
          </w:tcPr>
          <w:p w14:paraId="621E59DD"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18.92</w:t>
            </w:r>
          </w:p>
        </w:tc>
        <w:tc>
          <w:tcPr>
            <w:tcW w:w="720" w:type="dxa"/>
            <w:tcBorders>
              <w:top w:val="nil"/>
              <w:left w:val="nil"/>
              <w:bottom w:val="single" w:sz="4" w:space="0" w:color="auto"/>
              <w:right w:val="single" w:sz="4" w:space="0" w:color="auto"/>
            </w:tcBorders>
            <w:shd w:val="clear" w:color="auto" w:fill="auto"/>
            <w:vAlign w:val="center"/>
            <w:hideMark/>
          </w:tcPr>
          <w:p w14:paraId="416A53F1"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14.28</w:t>
            </w:r>
          </w:p>
        </w:tc>
      </w:tr>
      <w:tr w:rsidR="00ED5CC4" w:rsidRPr="00ED5CC4" w14:paraId="15B26330" w14:textId="77777777" w:rsidTr="00ED5CC4">
        <w:trPr>
          <w:trHeight w:val="240"/>
          <w:jc w:val="center"/>
        </w:trPr>
        <w:tc>
          <w:tcPr>
            <w:tcW w:w="519" w:type="dxa"/>
            <w:vMerge/>
            <w:tcBorders>
              <w:top w:val="nil"/>
              <w:left w:val="single" w:sz="4" w:space="0" w:color="auto"/>
              <w:bottom w:val="single" w:sz="4" w:space="0" w:color="auto"/>
              <w:right w:val="single" w:sz="4" w:space="0" w:color="auto"/>
            </w:tcBorders>
            <w:vAlign w:val="center"/>
            <w:hideMark/>
          </w:tcPr>
          <w:p w14:paraId="0B235F0D" w14:textId="77777777" w:rsidR="00ED5CC4" w:rsidRPr="00ED5CC4" w:rsidRDefault="00ED5CC4" w:rsidP="00ED5CC4">
            <w:pPr>
              <w:overflowPunct/>
              <w:autoSpaceDE/>
              <w:autoSpaceDN/>
              <w:adjustRightInd/>
              <w:spacing w:after="0"/>
              <w:textAlignment w:val="auto"/>
              <w:rPr>
                <w:rFonts w:ascii="Calibri" w:hAnsi="Calibri" w:cs="Calibri"/>
                <w:color w:val="000000"/>
                <w:sz w:val="18"/>
                <w:szCs w:val="18"/>
                <w:lang w:val="en-US" w:eastAsia="en-US"/>
              </w:rPr>
            </w:pPr>
          </w:p>
        </w:tc>
        <w:tc>
          <w:tcPr>
            <w:tcW w:w="432" w:type="dxa"/>
            <w:tcBorders>
              <w:top w:val="nil"/>
              <w:left w:val="nil"/>
              <w:bottom w:val="single" w:sz="4" w:space="0" w:color="auto"/>
              <w:right w:val="single" w:sz="4" w:space="0" w:color="auto"/>
            </w:tcBorders>
            <w:shd w:val="clear" w:color="000000" w:fill="2F75B5"/>
            <w:noWrap/>
            <w:vAlign w:val="center"/>
            <w:hideMark/>
          </w:tcPr>
          <w:p w14:paraId="67023FAD"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15</w:t>
            </w:r>
          </w:p>
        </w:tc>
        <w:tc>
          <w:tcPr>
            <w:tcW w:w="432" w:type="dxa"/>
            <w:tcBorders>
              <w:top w:val="nil"/>
              <w:left w:val="nil"/>
              <w:bottom w:val="single" w:sz="4" w:space="0" w:color="auto"/>
              <w:right w:val="single" w:sz="4" w:space="0" w:color="auto"/>
            </w:tcBorders>
            <w:shd w:val="clear" w:color="000000" w:fill="BDD7EE"/>
            <w:noWrap/>
            <w:vAlign w:val="center"/>
            <w:hideMark/>
          </w:tcPr>
          <w:p w14:paraId="5C51B466"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30</w:t>
            </w:r>
          </w:p>
        </w:tc>
        <w:tc>
          <w:tcPr>
            <w:tcW w:w="497" w:type="dxa"/>
            <w:tcBorders>
              <w:top w:val="nil"/>
              <w:left w:val="nil"/>
              <w:bottom w:val="single" w:sz="4" w:space="0" w:color="auto"/>
              <w:right w:val="single" w:sz="4" w:space="0" w:color="auto"/>
            </w:tcBorders>
            <w:shd w:val="clear" w:color="000000" w:fill="9BC2E6"/>
            <w:noWrap/>
            <w:vAlign w:val="center"/>
            <w:hideMark/>
          </w:tcPr>
          <w:p w14:paraId="4582A41E"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22.5</w:t>
            </w:r>
          </w:p>
        </w:tc>
        <w:tc>
          <w:tcPr>
            <w:tcW w:w="641" w:type="dxa"/>
            <w:tcBorders>
              <w:top w:val="nil"/>
              <w:left w:val="nil"/>
              <w:bottom w:val="single" w:sz="4" w:space="0" w:color="auto"/>
              <w:right w:val="single" w:sz="4" w:space="0" w:color="auto"/>
            </w:tcBorders>
            <w:shd w:val="clear" w:color="auto" w:fill="auto"/>
            <w:noWrap/>
            <w:vAlign w:val="center"/>
            <w:hideMark/>
          </w:tcPr>
          <w:p w14:paraId="3FDEDE6D"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645</w:t>
            </w:r>
          </w:p>
        </w:tc>
        <w:tc>
          <w:tcPr>
            <w:tcW w:w="639" w:type="dxa"/>
            <w:tcBorders>
              <w:top w:val="nil"/>
              <w:left w:val="nil"/>
              <w:bottom w:val="single" w:sz="4" w:space="0" w:color="auto"/>
              <w:right w:val="single" w:sz="4" w:space="0" w:color="auto"/>
            </w:tcBorders>
            <w:shd w:val="clear" w:color="auto" w:fill="auto"/>
            <w:noWrap/>
            <w:vAlign w:val="center"/>
            <w:hideMark/>
          </w:tcPr>
          <w:p w14:paraId="6407D908"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805</w:t>
            </w:r>
          </w:p>
        </w:tc>
        <w:tc>
          <w:tcPr>
            <w:tcW w:w="460" w:type="dxa"/>
            <w:tcBorders>
              <w:top w:val="nil"/>
              <w:left w:val="nil"/>
              <w:bottom w:val="single" w:sz="4" w:space="0" w:color="auto"/>
              <w:right w:val="single" w:sz="4" w:space="0" w:color="auto"/>
            </w:tcBorders>
            <w:shd w:val="clear" w:color="000000" w:fill="B4C6E7"/>
            <w:vAlign w:val="center"/>
            <w:hideMark/>
          </w:tcPr>
          <w:p w14:paraId="1C1DF527"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38</w:t>
            </w:r>
          </w:p>
        </w:tc>
        <w:tc>
          <w:tcPr>
            <w:tcW w:w="640" w:type="dxa"/>
            <w:tcBorders>
              <w:top w:val="nil"/>
              <w:left w:val="nil"/>
              <w:bottom w:val="single" w:sz="4" w:space="0" w:color="auto"/>
              <w:right w:val="single" w:sz="4" w:space="0" w:color="auto"/>
            </w:tcBorders>
            <w:shd w:val="clear" w:color="000000" w:fill="DDEBF7"/>
            <w:vAlign w:val="center"/>
            <w:hideMark/>
          </w:tcPr>
          <w:p w14:paraId="4452AC90"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19</w:t>
            </w:r>
          </w:p>
        </w:tc>
        <w:tc>
          <w:tcPr>
            <w:tcW w:w="420" w:type="dxa"/>
            <w:tcBorders>
              <w:top w:val="nil"/>
              <w:left w:val="nil"/>
              <w:bottom w:val="single" w:sz="4" w:space="0" w:color="auto"/>
              <w:right w:val="single" w:sz="4" w:space="0" w:color="auto"/>
            </w:tcBorders>
            <w:shd w:val="clear" w:color="000000" w:fill="00B050"/>
            <w:vAlign w:val="center"/>
            <w:hideMark/>
          </w:tcPr>
          <w:p w14:paraId="32B2F086"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76</w:t>
            </w:r>
          </w:p>
        </w:tc>
        <w:tc>
          <w:tcPr>
            <w:tcW w:w="460" w:type="dxa"/>
            <w:tcBorders>
              <w:top w:val="nil"/>
              <w:left w:val="nil"/>
              <w:bottom w:val="single" w:sz="4" w:space="0" w:color="auto"/>
              <w:right w:val="single" w:sz="4" w:space="0" w:color="auto"/>
            </w:tcBorders>
            <w:shd w:val="clear" w:color="000000" w:fill="00B050"/>
            <w:vAlign w:val="center"/>
            <w:hideMark/>
          </w:tcPr>
          <w:p w14:paraId="15C200DA"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57</w:t>
            </w:r>
          </w:p>
        </w:tc>
        <w:tc>
          <w:tcPr>
            <w:tcW w:w="620" w:type="dxa"/>
            <w:tcBorders>
              <w:top w:val="nil"/>
              <w:left w:val="nil"/>
              <w:bottom w:val="single" w:sz="4" w:space="0" w:color="auto"/>
              <w:right w:val="single" w:sz="4" w:space="0" w:color="auto"/>
            </w:tcBorders>
            <w:shd w:val="clear" w:color="auto" w:fill="auto"/>
            <w:vAlign w:val="center"/>
            <w:hideMark/>
          </w:tcPr>
          <w:p w14:paraId="4EA75933"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945.0</w:t>
            </w:r>
          </w:p>
        </w:tc>
        <w:tc>
          <w:tcPr>
            <w:tcW w:w="620" w:type="dxa"/>
            <w:tcBorders>
              <w:top w:val="nil"/>
              <w:left w:val="nil"/>
              <w:bottom w:val="single" w:sz="4" w:space="0" w:color="auto"/>
              <w:right w:val="single" w:sz="4" w:space="0" w:color="auto"/>
            </w:tcBorders>
            <w:shd w:val="clear" w:color="auto" w:fill="auto"/>
            <w:vAlign w:val="center"/>
            <w:hideMark/>
          </w:tcPr>
          <w:p w14:paraId="0515E79A"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785.0</w:t>
            </w:r>
          </w:p>
        </w:tc>
        <w:tc>
          <w:tcPr>
            <w:tcW w:w="660" w:type="dxa"/>
            <w:tcBorders>
              <w:top w:val="nil"/>
              <w:left w:val="nil"/>
              <w:bottom w:val="single" w:sz="4" w:space="0" w:color="auto"/>
              <w:right w:val="single" w:sz="4" w:space="0" w:color="auto"/>
            </w:tcBorders>
            <w:shd w:val="clear" w:color="auto" w:fill="auto"/>
            <w:vAlign w:val="center"/>
            <w:hideMark/>
          </w:tcPr>
          <w:p w14:paraId="3462ABE7"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29.28</w:t>
            </w:r>
          </w:p>
        </w:tc>
        <w:tc>
          <w:tcPr>
            <w:tcW w:w="720" w:type="dxa"/>
            <w:tcBorders>
              <w:top w:val="nil"/>
              <w:left w:val="nil"/>
              <w:bottom w:val="single" w:sz="4" w:space="0" w:color="auto"/>
              <w:right w:val="single" w:sz="4" w:space="0" w:color="auto"/>
            </w:tcBorders>
            <w:shd w:val="clear" w:color="auto" w:fill="auto"/>
            <w:vAlign w:val="center"/>
            <w:hideMark/>
          </w:tcPr>
          <w:p w14:paraId="48699628"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22.12</w:t>
            </w:r>
          </w:p>
        </w:tc>
      </w:tr>
      <w:tr w:rsidR="00ED5CC4" w:rsidRPr="00ED5CC4" w14:paraId="292F49D9" w14:textId="77777777" w:rsidTr="00ED5CC4">
        <w:trPr>
          <w:trHeight w:val="240"/>
          <w:jc w:val="center"/>
        </w:trPr>
        <w:tc>
          <w:tcPr>
            <w:tcW w:w="519" w:type="dxa"/>
            <w:vMerge/>
            <w:tcBorders>
              <w:top w:val="nil"/>
              <w:left w:val="single" w:sz="4" w:space="0" w:color="auto"/>
              <w:bottom w:val="single" w:sz="4" w:space="0" w:color="auto"/>
              <w:right w:val="single" w:sz="4" w:space="0" w:color="auto"/>
            </w:tcBorders>
            <w:vAlign w:val="center"/>
            <w:hideMark/>
          </w:tcPr>
          <w:p w14:paraId="7793D611" w14:textId="77777777" w:rsidR="00ED5CC4" w:rsidRPr="00ED5CC4" w:rsidRDefault="00ED5CC4" w:rsidP="00ED5CC4">
            <w:pPr>
              <w:overflowPunct/>
              <w:autoSpaceDE/>
              <w:autoSpaceDN/>
              <w:adjustRightInd/>
              <w:spacing w:after="0"/>
              <w:textAlignment w:val="auto"/>
              <w:rPr>
                <w:rFonts w:ascii="Calibri" w:hAnsi="Calibri" w:cs="Calibri"/>
                <w:color w:val="000000"/>
                <w:sz w:val="18"/>
                <w:szCs w:val="18"/>
                <w:lang w:val="en-US" w:eastAsia="en-US"/>
              </w:rPr>
            </w:pPr>
          </w:p>
        </w:tc>
        <w:tc>
          <w:tcPr>
            <w:tcW w:w="432" w:type="dxa"/>
            <w:tcBorders>
              <w:top w:val="nil"/>
              <w:left w:val="nil"/>
              <w:bottom w:val="single" w:sz="4" w:space="0" w:color="auto"/>
              <w:right w:val="single" w:sz="4" w:space="0" w:color="auto"/>
            </w:tcBorders>
            <w:shd w:val="clear" w:color="000000" w:fill="5B9BD5"/>
            <w:noWrap/>
            <w:vAlign w:val="center"/>
            <w:hideMark/>
          </w:tcPr>
          <w:p w14:paraId="7D883BC3"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20</w:t>
            </w:r>
          </w:p>
        </w:tc>
        <w:tc>
          <w:tcPr>
            <w:tcW w:w="432" w:type="dxa"/>
            <w:tcBorders>
              <w:top w:val="nil"/>
              <w:left w:val="nil"/>
              <w:bottom w:val="single" w:sz="4" w:space="0" w:color="auto"/>
              <w:right w:val="single" w:sz="4" w:space="0" w:color="auto"/>
            </w:tcBorders>
            <w:shd w:val="clear" w:color="000000" w:fill="D9D9D9"/>
            <w:noWrap/>
            <w:vAlign w:val="center"/>
            <w:hideMark/>
          </w:tcPr>
          <w:p w14:paraId="6E69B620"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40</w:t>
            </w:r>
          </w:p>
        </w:tc>
        <w:tc>
          <w:tcPr>
            <w:tcW w:w="497" w:type="dxa"/>
            <w:tcBorders>
              <w:top w:val="nil"/>
              <w:left w:val="nil"/>
              <w:bottom w:val="single" w:sz="4" w:space="0" w:color="auto"/>
              <w:right w:val="single" w:sz="4" w:space="0" w:color="auto"/>
            </w:tcBorders>
            <w:shd w:val="clear" w:color="000000" w:fill="BDD7EE"/>
            <w:noWrap/>
            <w:vAlign w:val="center"/>
            <w:hideMark/>
          </w:tcPr>
          <w:p w14:paraId="687CE76D"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30</w:t>
            </w:r>
          </w:p>
        </w:tc>
        <w:tc>
          <w:tcPr>
            <w:tcW w:w="641" w:type="dxa"/>
            <w:tcBorders>
              <w:top w:val="nil"/>
              <w:left w:val="nil"/>
              <w:bottom w:val="single" w:sz="4" w:space="0" w:color="auto"/>
              <w:right w:val="single" w:sz="4" w:space="0" w:color="auto"/>
            </w:tcBorders>
            <w:shd w:val="clear" w:color="auto" w:fill="auto"/>
            <w:noWrap/>
            <w:vAlign w:val="center"/>
            <w:hideMark/>
          </w:tcPr>
          <w:p w14:paraId="1AC73FE7"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805</w:t>
            </w:r>
          </w:p>
        </w:tc>
        <w:tc>
          <w:tcPr>
            <w:tcW w:w="639" w:type="dxa"/>
            <w:tcBorders>
              <w:top w:val="nil"/>
              <w:left w:val="nil"/>
              <w:bottom w:val="single" w:sz="4" w:space="0" w:color="auto"/>
              <w:right w:val="single" w:sz="4" w:space="0" w:color="auto"/>
            </w:tcBorders>
            <w:shd w:val="clear" w:color="auto" w:fill="auto"/>
            <w:noWrap/>
            <w:vAlign w:val="center"/>
            <w:hideMark/>
          </w:tcPr>
          <w:p w14:paraId="68EB4BB2"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805</w:t>
            </w:r>
          </w:p>
        </w:tc>
        <w:tc>
          <w:tcPr>
            <w:tcW w:w="460" w:type="dxa"/>
            <w:tcBorders>
              <w:top w:val="nil"/>
              <w:left w:val="nil"/>
              <w:bottom w:val="single" w:sz="4" w:space="0" w:color="auto"/>
              <w:right w:val="single" w:sz="4" w:space="0" w:color="auto"/>
            </w:tcBorders>
            <w:shd w:val="clear" w:color="000000" w:fill="B4C6E7"/>
            <w:vAlign w:val="center"/>
            <w:hideMark/>
          </w:tcPr>
          <w:p w14:paraId="25C3D025"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51</w:t>
            </w:r>
          </w:p>
        </w:tc>
        <w:tc>
          <w:tcPr>
            <w:tcW w:w="640" w:type="dxa"/>
            <w:tcBorders>
              <w:top w:val="nil"/>
              <w:left w:val="nil"/>
              <w:bottom w:val="single" w:sz="4" w:space="0" w:color="auto"/>
              <w:right w:val="single" w:sz="4" w:space="0" w:color="auto"/>
            </w:tcBorders>
            <w:shd w:val="clear" w:color="000000" w:fill="DDEBF7"/>
            <w:vAlign w:val="center"/>
            <w:hideMark/>
          </w:tcPr>
          <w:p w14:paraId="6414E52B"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26</w:t>
            </w:r>
          </w:p>
        </w:tc>
        <w:tc>
          <w:tcPr>
            <w:tcW w:w="420" w:type="dxa"/>
            <w:tcBorders>
              <w:top w:val="nil"/>
              <w:left w:val="nil"/>
              <w:bottom w:val="single" w:sz="4" w:space="0" w:color="auto"/>
              <w:right w:val="single" w:sz="4" w:space="0" w:color="auto"/>
            </w:tcBorders>
            <w:shd w:val="clear" w:color="000000" w:fill="00B050"/>
            <w:vAlign w:val="center"/>
            <w:hideMark/>
          </w:tcPr>
          <w:p w14:paraId="10A898A3"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103</w:t>
            </w:r>
          </w:p>
        </w:tc>
        <w:tc>
          <w:tcPr>
            <w:tcW w:w="460" w:type="dxa"/>
            <w:tcBorders>
              <w:top w:val="nil"/>
              <w:left w:val="nil"/>
              <w:bottom w:val="single" w:sz="4" w:space="0" w:color="auto"/>
              <w:right w:val="single" w:sz="4" w:space="0" w:color="auto"/>
            </w:tcBorders>
            <w:shd w:val="clear" w:color="000000" w:fill="92D050"/>
            <w:vAlign w:val="center"/>
            <w:hideMark/>
          </w:tcPr>
          <w:p w14:paraId="2EF45BEA"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77</w:t>
            </w:r>
          </w:p>
        </w:tc>
        <w:tc>
          <w:tcPr>
            <w:tcW w:w="620" w:type="dxa"/>
            <w:tcBorders>
              <w:top w:val="nil"/>
              <w:left w:val="nil"/>
              <w:bottom w:val="single" w:sz="4" w:space="0" w:color="auto"/>
              <w:right w:val="single" w:sz="4" w:space="0" w:color="auto"/>
            </w:tcBorders>
            <w:shd w:val="clear" w:color="auto" w:fill="auto"/>
            <w:vAlign w:val="center"/>
            <w:hideMark/>
          </w:tcPr>
          <w:p w14:paraId="6F76EA69"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905.0</w:t>
            </w:r>
          </w:p>
        </w:tc>
        <w:tc>
          <w:tcPr>
            <w:tcW w:w="620" w:type="dxa"/>
            <w:tcBorders>
              <w:top w:val="nil"/>
              <w:left w:val="nil"/>
              <w:bottom w:val="single" w:sz="4" w:space="0" w:color="auto"/>
              <w:right w:val="single" w:sz="4" w:space="0" w:color="auto"/>
            </w:tcBorders>
            <w:shd w:val="clear" w:color="auto" w:fill="auto"/>
            <w:vAlign w:val="center"/>
            <w:hideMark/>
          </w:tcPr>
          <w:p w14:paraId="400BA625"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945.0</w:t>
            </w:r>
          </w:p>
        </w:tc>
        <w:tc>
          <w:tcPr>
            <w:tcW w:w="660" w:type="dxa"/>
            <w:tcBorders>
              <w:top w:val="nil"/>
              <w:left w:val="nil"/>
              <w:bottom w:val="single" w:sz="4" w:space="0" w:color="auto"/>
              <w:right w:val="single" w:sz="4" w:space="0" w:color="auto"/>
            </w:tcBorders>
            <w:shd w:val="clear" w:color="auto" w:fill="auto"/>
            <w:vAlign w:val="center"/>
            <w:hideMark/>
          </w:tcPr>
          <w:p w14:paraId="19F1B7C7"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38.92</w:t>
            </w:r>
          </w:p>
        </w:tc>
        <w:tc>
          <w:tcPr>
            <w:tcW w:w="720" w:type="dxa"/>
            <w:tcBorders>
              <w:top w:val="nil"/>
              <w:left w:val="nil"/>
              <w:bottom w:val="single" w:sz="4" w:space="0" w:color="auto"/>
              <w:right w:val="single" w:sz="4" w:space="0" w:color="auto"/>
            </w:tcBorders>
            <w:shd w:val="clear" w:color="auto" w:fill="auto"/>
            <w:vAlign w:val="center"/>
            <w:hideMark/>
          </w:tcPr>
          <w:p w14:paraId="69241B11"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29.64</w:t>
            </w:r>
          </w:p>
        </w:tc>
      </w:tr>
      <w:tr w:rsidR="00ED5CC4" w:rsidRPr="00ED5CC4" w14:paraId="0CA0366C" w14:textId="77777777" w:rsidTr="00ED5CC4">
        <w:trPr>
          <w:trHeight w:val="240"/>
          <w:jc w:val="center"/>
        </w:trPr>
        <w:tc>
          <w:tcPr>
            <w:tcW w:w="519" w:type="dxa"/>
            <w:vMerge/>
            <w:tcBorders>
              <w:top w:val="nil"/>
              <w:left w:val="single" w:sz="4" w:space="0" w:color="auto"/>
              <w:bottom w:val="single" w:sz="4" w:space="0" w:color="auto"/>
              <w:right w:val="single" w:sz="4" w:space="0" w:color="auto"/>
            </w:tcBorders>
            <w:vAlign w:val="center"/>
            <w:hideMark/>
          </w:tcPr>
          <w:p w14:paraId="1630C82D" w14:textId="77777777" w:rsidR="00ED5CC4" w:rsidRPr="00ED5CC4" w:rsidRDefault="00ED5CC4" w:rsidP="00ED5CC4">
            <w:pPr>
              <w:overflowPunct/>
              <w:autoSpaceDE/>
              <w:autoSpaceDN/>
              <w:adjustRightInd/>
              <w:spacing w:after="0"/>
              <w:textAlignment w:val="auto"/>
              <w:rPr>
                <w:rFonts w:ascii="Calibri" w:hAnsi="Calibri" w:cs="Calibri"/>
                <w:color w:val="000000"/>
                <w:sz w:val="18"/>
                <w:szCs w:val="18"/>
                <w:lang w:val="en-US" w:eastAsia="en-US"/>
              </w:rPr>
            </w:pPr>
          </w:p>
        </w:tc>
        <w:tc>
          <w:tcPr>
            <w:tcW w:w="432" w:type="dxa"/>
            <w:tcBorders>
              <w:top w:val="nil"/>
              <w:left w:val="nil"/>
              <w:bottom w:val="single" w:sz="4" w:space="0" w:color="auto"/>
              <w:right w:val="single" w:sz="4" w:space="0" w:color="auto"/>
            </w:tcBorders>
            <w:shd w:val="clear" w:color="000000" w:fill="9BC2E6"/>
            <w:noWrap/>
            <w:vAlign w:val="center"/>
            <w:hideMark/>
          </w:tcPr>
          <w:p w14:paraId="687C1E9E"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25</w:t>
            </w:r>
          </w:p>
        </w:tc>
        <w:tc>
          <w:tcPr>
            <w:tcW w:w="432" w:type="dxa"/>
            <w:tcBorders>
              <w:top w:val="nil"/>
              <w:left w:val="nil"/>
              <w:bottom w:val="single" w:sz="4" w:space="0" w:color="auto"/>
              <w:right w:val="single" w:sz="4" w:space="0" w:color="auto"/>
            </w:tcBorders>
            <w:shd w:val="clear" w:color="000000" w:fill="FCE4D6"/>
            <w:noWrap/>
            <w:vAlign w:val="center"/>
            <w:hideMark/>
          </w:tcPr>
          <w:p w14:paraId="7CAF7D0B"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50</w:t>
            </w:r>
          </w:p>
        </w:tc>
        <w:tc>
          <w:tcPr>
            <w:tcW w:w="497" w:type="dxa"/>
            <w:tcBorders>
              <w:top w:val="nil"/>
              <w:left w:val="nil"/>
              <w:bottom w:val="single" w:sz="4" w:space="0" w:color="auto"/>
              <w:right w:val="single" w:sz="4" w:space="0" w:color="auto"/>
            </w:tcBorders>
            <w:shd w:val="clear" w:color="000000" w:fill="D9D9D9"/>
            <w:noWrap/>
            <w:vAlign w:val="center"/>
            <w:hideMark/>
          </w:tcPr>
          <w:p w14:paraId="735D138B"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37.5</w:t>
            </w:r>
          </w:p>
        </w:tc>
        <w:tc>
          <w:tcPr>
            <w:tcW w:w="641" w:type="dxa"/>
            <w:tcBorders>
              <w:top w:val="nil"/>
              <w:left w:val="nil"/>
              <w:bottom w:val="single" w:sz="4" w:space="0" w:color="auto"/>
              <w:right w:val="single" w:sz="4" w:space="0" w:color="auto"/>
            </w:tcBorders>
            <w:shd w:val="clear" w:color="auto" w:fill="auto"/>
            <w:noWrap/>
            <w:vAlign w:val="center"/>
            <w:hideMark/>
          </w:tcPr>
          <w:p w14:paraId="54C3A1C6"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785</w:t>
            </w:r>
          </w:p>
        </w:tc>
        <w:tc>
          <w:tcPr>
            <w:tcW w:w="639" w:type="dxa"/>
            <w:tcBorders>
              <w:top w:val="nil"/>
              <w:left w:val="nil"/>
              <w:bottom w:val="single" w:sz="4" w:space="0" w:color="auto"/>
              <w:right w:val="single" w:sz="4" w:space="0" w:color="auto"/>
            </w:tcBorders>
            <w:shd w:val="clear" w:color="auto" w:fill="auto"/>
            <w:noWrap/>
            <w:vAlign w:val="center"/>
            <w:hideMark/>
          </w:tcPr>
          <w:p w14:paraId="70220085"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945</w:t>
            </w:r>
          </w:p>
        </w:tc>
        <w:tc>
          <w:tcPr>
            <w:tcW w:w="460" w:type="dxa"/>
            <w:tcBorders>
              <w:top w:val="nil"/>
              <w:left w:val="nil"/>
              <w:bottom w:val="single" w:sz="4" w:space="0" w:color="auto"/>
              <w:right w:val="single" w:sz="4" w:space="0" w:color="auto"/>
            </w:tcBorders>
            <w:shd w:val="clear" w:color="000000" w:fill="B4C6E7"/>
            <w:vAlign w:val="center"/>
            <w:hideMark/>
          </w:tcPr>
          <w:p w14:paraId="637AD51E"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65</w:t>
            </w:r>
          </w:p>
        </w:tc>
        <w:tc>
          <w:tcPr>
            <w:tcW w:w="640" w:type="dxa"/>
            <w:tcBorders>
              <w:top w:val="nil"/>
              <w:left w:val="nil"/>
              <w:bottom w:val="single" w:sz="4" w:space="0" w:color="auto"/>
              <w:right w:val="single" w:sz="4" w:space="0" w:color="auto"/>
            </w:tcBorders>
            <w:shd w:val="clear" w:color="000000" w:fill="DDEBF7"/>
            <w:vAlign w:val="center"/>
            <w:hideMark/>
          </w:tcPr>
          <w:p w14:paraId="7A4EC1D4"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33</w:t>
            </w:r>
          </w:p>
        </w:tc>
        <w:tc>
          <w:tcPr>
            <w:tcW w:w="420" w:type="dxa"/>
            <w:tcBorders>
              <w:top w:val="nil"/>
              <w:left w:val="nil"/>
              <w:bottom w:val="single" w:sz="4" w:space="0" w:color="auto"/>
              <w:right w:val="single" w:sz="4" w:space="0" w:color="auto"/>
            </w:tcBorders>
            <w:shd w:val="clear" w:color="000000" w:fill="00B050"/>
            <w:vAlign w:val="center"/>
            <w:hideMark/>
          </w:tcPr>
          <w:p w14:paraId="3A6ECB5E"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131</w:t>
            </w:r>
          </w:p>
        </w:tc>
        <w:tc>
          <w:tcPr>
            <w:tcW w:w="460" w:type="dxa"/>
            <w:tcBorders>
              <w:top w:val="nil"/>
              <w:left w:val="nil"/>
              <w:bottom w:val="single" w:sz="4" w:space="0" w:color="auto"/>
              <w:right w:val="single" w:sz="4" w:space="0" w:color="auto"/>
            </w:tcBorders>
            <w:shd w:val="clear" w:color="000000" w:fill="00B050"/>
            <w:vAlign w:val="center"/>
            <w:hideMark/>
          </w:tcPr>
          <w:p w14:paraId="477C979C"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98</w:t>
            </w:r>
          </w:p>
        </w:tc>
        <w:tc>
          <w:tcPr>
            <w:tcW w:w="620" w:type="dxa"/>
            <w:tcBorders>
              <w:top w:val="nil"/>
              <w:left w:val="nil"/>
              <w:bottom w:val="single" w:sz="4" w:space="0" w:color="auto"/>
              <w:right w:val="single" w:sz="4" w:space="0" w:color="auto"/>
            </w:tcBorders>
            <w:shd w:val="clear" w:color="auto" w:fill="auto"/>
            <w:vAlign w:val="center"/>
            <w:hideMark/>
          </w:tcPr>
          <w:p w14:paraId="11D119EF"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1045.0</w:t>
            </w:r>
          </w:p>
        </w:tc>
        <w:tc>
          <w:tcPr>
            <w:tcW w:w="620" w:type="dxa"/>
            <w:tcBorders>
              <w:top w:val="nil"/>
              <w:left w:val="nil"/>
              <w:bottom w:val="single" w:sz="4" w:space="0" w:color="auto"/>
              <w:right w:val="single" w:sz="4" w:space="0" w:color="auto"/>
            </w:tcBorders>
            <w:shd w:val="clear" w:color="auto" w:fill="auto"/>
            <w:vAlign w:val="center"/>
            <w:hideMark/>
          </w:tcPr>
          <w:p w14:paraId="1DDCACA2"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905.0</w:t>
            </w:r>
          </w:p>
        </w:tc>
        <w:tc>
          <w:tcPr>
            <w:tcW w:w="660" w:type="dxa"/>
            <w:tcBorders>
              <w:top w:val="nil"/>
              <w:left w:val="nil"/>
              <w:bottom w:val="single" w:sz="4" w:space="0" w:color="auto"/>
              <w:right w:val="single" w:sz="4" w:space="0" w:color="auto"/>
            </w:tcBorders>
            <w:shd w:val="clear" w:color="auto" w:fill="auto"/>
            <w:vAlign w:val="center"/>
            <w:hideMark/>
          </w:tcPr>
          <w:p w14:paraId="35D78F48"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49.28</w:t>
            </w:r>
          </w:p>
        </w:tc>
        <w:tc>
          <w:tcPr>
            <w:tcW w:w="720" w:type="dxa"/>
            <w:tcBorders>
              <w:top w:val="nil"/>
              <w:left w:val="nil"/>
              <w:bottom w:val="single" w:sz="4" w:space="0" w:color="auto"/>
              <w:right w:val="single" w:sz="4" w:space="0" w:color="auto"/>
            </w:tcBorders>
            <w:shd w:val="clear" w:color="auto" w:fill="auto"/>
            <w:vAlign w:val="center"/>
            <w:hideMark/>
          </w:tcPr>
          <w:p w14:paraId="29A07B20"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37.12</w:t>
            </w:r>
          </w:p>
        </w:tc>
      </w:tr>
      <w:tr w:rsidR="00ED5CC4" w:rsidRPr="00ED5CC4" w14:paraId="24826DC2" w14:textId="77777777" w:rsidTr="00ED5CC4">
        <w:trPr>
          <w:trHeight w:val="240"/>
          <w:jc w:val="center"/>
        </w:trPr>
        <w:tc>
          <w:tcPr>
            <w:tcW w:w="519" w:type="dxa"/>
            <w:vMerge/>
            <w:tcBorders>
              <w:top w:val="nil"/>
              <w:left w:val="single" w:sz="4" w:space="0" w:color="auto"/>
              <w:bottom w:val="single" w:sz="4" w:space="0" w:color="auto"/>
              <w:right w:val="single" w:sz="4" w:space="0" w:color="auto"/>
            </w:tcBorders>
            <w:vAlign w:val="center"/>
            <w:hideMark/>
          </w:tcPr>
          <w:p w14:paraId="79547EC2" w14:textId="77777777" w:rsidR="00ED5CC4" w:rsidRPr="00ED5CC4" w:rsidRDefault="00ED5CC4" w:rsidP="00ED5CC4">
            <w:pPr>
              <w:overflowPunct/>
              <w:autoSpaceDE/>
              <w:autoSpaceDN/>
              <w:adjustRightInd/>
              <w:spacing w:after="0"/>
              <w:textAlignment w:val="auto"/>
              <w:rPr>
                <w:rFonts w:ascii="Calibri" w:hAnsi="Calibri" w:cs="Calibri"/>
                <w:color w:val="000000"/>
                <w:sz w:val="18"/>
                <w:szCs w:val="18"/>
                <w:lang w:val="en-US" w:eastAsia="en-US"/>
              </w:rPr>
            </w:pPr>
          </w:p>
        </w:tc>
        <w:tc>
          <w:tcPr>
            <w:tcW w:w="432" w:type="dxa"/>
            <w:tcBorders>
              <w:top w:val="nil"/>
              <w:left w:val="nil"/>
              <w:bottom w:val="single" w:sz="4" w:space="0" w:color="auto"/>
              <w:right w:val="single" w:sz="4" w:space="0" w:color="auto"/>
            </w:tcBorders>
            <w:shd w:val="clear" w:color="000000" w:fill="BDD7EE"/>
            <w:noWrap/>
            <w:vAlign w:val="center"/>
            <w:hideMark/>
          </w:tcPr>
          <w:p w14:paraId="398FDB27"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30</w:t>
            </w:r>
          </w:p>
        </w:tc>
        <w:tc>
          <w:tcPr>
            <w:tcW w:w="432" w:type="dxa"/>
            <w:tcBorders>
              <w:top w:val="nil"/>
              <w:left w:val="nil"/>
              <w:bottom w:val="single" w:sz="4" w:space="0" w:color="auto"/>
              <w:right w:val="single" w:sz="4" w:space="0" w:color="auto"/>
            </w:tcBorders>
            <w:shd w:val="clear" w:color="000000" w:fill="F8CBAD"/>
            <w:noWrap/>
            <w:vAlign w:val="center"/>
            <w:hideMark/>
          </w:tcPr>
          <w:p w14:paraId="5ED7389D"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60</w:t>
            </w:r>
          </w:p>
        </w:tc>
        <w:tc>
          <w:tcPr>
            <w:tcW w:w="497" w:type="dxa"/>
            <w:tcBorders>
              <w:top w:val="nil"/>
              <w:left w:val="nil"/>
              <w:bottom w:val="single" w:sz="4" w:space="0" w:color="auto"/>
              <w:right w:val="single" w:sz="4" w:space="0" w:color="auto"/>
            </w:tcBorders>
            <w:shd w:val="clear" w:color="000000" w:fill="BFBFBF"/>
            <w:noWrap/>
            <w:vAlign w:val="center"/>
            <w:hideMark/>
          </w:tcPr>
          <w:p w14:paraId="01A3C9E3"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45</w:t>
            </w:r>
          </w:p>
        </w:tc>
        <w:tc>
          <w:tcPr>
            <w:tcW w:w="641" w:type="dxa"/>
            <w:tcBorders>
              <w:top w:val="nil"/>
              <w:left w:val="nil"/>
              <w:bottom w:val="single" w:sz="4" w:space="0" w:color="auto"/>
              <w:right w:val="single" w:sz="4" w:space="0" w:color="auto"/>
            </w:tcBorders>
            <w:shd w:val="clear" w:color="auto" w:fill="auto"/>
            <w:noWrap/>
            <w:vAlign w:val="center"/>
            <w:hideMark/>
          </w:tcPr>
          <w:p w14:paraId="0384BDB2"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945</w:t>
            </w:r>
          </w:p>
        </w:tc>
        <w:tc>
          <w:tcPr>
            <w:tcW w:w="639" w:type="dxa"/>
            <w:tcBorders>
              <w:top w:val="nil"/>
              <w:left w:val="nil"/>
              <w:bottom w:val="single" w:sz="4" w:space="0" w:color="auto"/>
              <w:right w:val="single" w:sz="4" w:space="0" w:color="auto"/>
            </w:tcBorders>
            <w:shd w:val="clear" w:color="auto" w:fill="auto"/>
            <w:noWrap/>
            <w:vAlign w:val="center"/>
            <w:hideMark/>
          </w:tcPr>
          <w:p w14:paraId="166DF9EF"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945</w:t>
            </w:r>
          </w:p>
        </w:tc>
        <w:tc>
          <w:tcPr>
            <w:tcW w:w="460" w:type="dxa"/>
            <w:tcBorders>
              <w:top w:val="nil"/>
              <w:left w:val="nil"/>
              <w:bottom w:val="single" w:sz="4" w:space="0" w:color="auto"/>
              <w:right w:val="single" w:sz="4" w:space="0" w:color="auto"/>
            </w:tcBorders>
            <w:shd w:val="clear" w:color="000000" w:fill="B4C6E7"/>
            <w:vAlign w:val="center"/>
            <w:hideMark/>
          </w:tcPr>
          <w:p w14:paraId="141A0181"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78</w:t>
            </w:r>
          </w:p>
        </w:tc>
        <w:tc>
          <w:tcPr>
            <w:tcW w:w="640" w:type="dxa"/>
            <w:tcBorders>
              <w:top w:val="nil"/>
              <w:left w:val="nil"/>
              <w:bottom w:val="single" w:sz="4" w:space="0" w:color="auto"/>
              <w:right w:val="single" w:sz="4" w:space="0" w:color="auto"/>
            </w:tcBorders>
            <w:shd w:val="clear" w:color="000000" w:fill="DDEBF7"/>
            <w:vAlign w:val="center"/>
            <w:hideMark/>
          </w:tcPr>
          <w:p w14:paraId="44B8647F"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39</w:t>
            </w:r>
          </w:p>
        </w:tc>
        <w:tc>
          <w:tcPr>
            <w:tcW w:w="420" w:type="dxa"/>
            <w:tcBorders>
              <w:top w:val="nil"/>
              <w:left w:val="nil"/>
              <w:bottom w:val="single" w:sz="4" w:space="0" w:color="auto"/>
              <w:right w:val="single" w:sz="4" w:space="0" w:color="auto"/>
            </w:tcBorders>
            <w:shd w:val="clear" w:color="000000" w:fill="00B050"/>
            <w:vAlign w:val="center"/>
            <w:hideMark/>
          </w:tcPr>
          <w:p w14:paraId="70F435BB"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156</w:t>
            </w:r>
          </w:p>
        </w:tc>
        <w:tc>
          <w:tcPr>
            <w:tcW w:w="460" w:type="dxa"/>
            <w:tcBorders>
              <w:top w:val="nil"/>
              <w:left w:val="nil"/>
              <w:bottom w:val="single" w:sz="4" w:space="0" w:color="auto"/>
              <w:right w:val="single" w:sz="4" w:space="0" w:color="auto"/>
            </w:tcBorders>
            <w:shd w:val="clear" w:color="000000" w:fill="00B050"/>
            <w:vAlign w:val="center"/>
            <w:hideMark/>
          </w:tcPr>
          <w:p w14:paraId="63BE31EE"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117</w:t>
            </w:r>
          </w:p>
        </w:tc>
        <w:tc>
          <w:tcPr>
            <w:tcW w:w="620" w:type="dxa"/>
            <w:tcBorders>
              <w:top w:val="nil"/>
              <w:left w:val="nil"/>
              <w:bottom w:val="single" w:sz="4" w:space="0" w:color="auto"/>
              <w:right w:val="single" w:sz="4" w:space="0" w:color="auto"/>
            </w:tcBorders>
            <w:shd w:val="clear" w:color="auto" w:fill="auto"/>
            <w:vAlign w:val="center"/>
            <w:hideMark/>
          </w:tcPr>
          <w:p w14:paraId="128E5FFD"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825.0</w:t>
            </w:r>
          </w:p>
        </w:tc>
        <w:tc>
          <w:tcPr>
            <w:tcW w:w="620" w:type="dxa"/>
            <w:tcBorders>
              <w:top w:val="nil"/>
              <w:left w:val="nil"/>
              <w:bottom w:val="single" w:sz="4" w:space="0" w:color="auto"/>
              <w:right w:val="single" w:sz="4" w:space="0" w:color="auto"/>
            </w:tcBorders>
            <w:shd w:val="clear" w:color="auto" w:fill="auto"/>
            <w:vAlign w:val="center"/>
            <w:hideMark/>
          </w:tcPr>
          <w:p w14:paraId="7B052F4B"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1065.0</w:t>
            </w:r>
          </w:p>
        </w:tc>
        <w:tc>
          <w:tcPr>
            <w:tcW w:w="660" w:type="dxa"/>
            <w:tcBorders>
              <w:top w:val="nil"/>
              <w:left w:val="nil"/>
              <w:bottom w:val="single" w:sz="4" w:space="0" w:color="auto"/>
              <w:right w:val="single" w:sz="4" w:space="0" w:color="auto"/>
            </w:tcBorders>
            <w:shd w:val="clear" w:color="auto" w:fill="auto"/>
            <w:vAlign w:val="center"/>
            <w:hideMark/>
          </w:tcPr>
          <w:p w14:paraId="10F44DE7"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57.84</w:t>
            </w:r>
          </w:p>
        </w:tc>
        <w:tc>
          <w:tcPr>
            <w:tcW w:w="720" w:type="dxa"/>
            <w:tcBorders>
              <w:top w:val="nil"/>
              <w:left w:val="nil"/>
              <w:bottom w:val="single" w:sz="4" w:space="0" w:color="auto"/>
              <w:right w:val="single" w:sz="4" w:space="0" w:color="auto"/>
            </w:tcBorders>
            <w:shd w:val="clear" w:color="auto" w:fill="auto"/>
            <w:vAlign w:val="center"/>
            <w:hideMark/>
          </w:tcPr>
          <w:p w14:paraId="075D61ED"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44.28</w:t>
            </w:r>
          </w:p>
        </w:tc>
      </w:tr>
      <w:tr w:rsidR="00ED5CC4" w:rsidRPr="00ED5CC4" w14:paraId="2BF1ED2A" w14:textId="77777777" w:rsidTr="00ED5CC4">
        <w:trPr>
          <w:trHeight w:val="240"/>
          <w:jc w:val="center"/>
        </w:trPr>
        <w:tc>
          <w:tcPr>
            <w:tcW w:w="519" w:type="dxa"/>
            <w:vMerge/>
            <w:tcBorders>
              <w:top w:val="nil"/>
              <w:left w:val="single" w:sz="4" w:space="0" w:color="auto"/>
              <w:bottom w:val="single" w:sz="4" w:space="0" w:color="auto"/>
              <w:right w:val="single" w:sz="4" w:space="0" w:color="auto"/>
            </w:tcBorders>
            <w:vAlign w:val="center"/>
            <w:hideMark/>
          </w:tcPr>
          <w:p w14:paraId="3AB968D8" w14:textId="77777777" w:rsidR="00ED5CC4" w:rsidRPr="00ED5CC4" w:rsidRDefault="00ED5CC4" w:rsidP="00ED5CC4">
            <w:pPr>
              <w:overflowPunct/>
              <w:autoSpaceDE/>
              <w:autoSpaceDN/>
              <w:adjustRightInd/>
              <w:spacing w:after="0"/>
              <w:textAlignment w:val="auto"/>
              <w:rPr>
                <w:rFonts w:ascii="Calibri" w:hAnsi="Calibri" w:cs="Calibri"/>
                <w:color w:val="000000"/>
                <w:sz w:val="18"/>
                <w:szCs w:val="18"/>
                <w:lang w:val="en-US" w:eastAsia="en-US"/>
              </w:rPr>
            </w:pPr>
          </w:p>
        </w:tc>
        <w:tc>
          <w:tcPr>
            <w:tcW w:w="432" w:type="dxa"/>
            <w:tcBorders>
              <w:top w:val="nil"/>
              <w:left w:val="nil"/>
              <w:bottom w:val="single" w:sz="4" w:space="0" w:color="auto"/>
              <w:right w:val="single" w:sz="4" w:space="0" w:color="auto"/>
            </w:tcBorders>
            <w:shd w:val="clear" w:color="000000" w:fill="DDEBF7"/>
            <w:noWrap/>
            <w:vAlign w:val="center"/>
            <w:hideMark/>
          </w:tcPr>
          <w:p w14:paraId="75F7F73D"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35</w:t>
            </w:r>
          </w:p>
        </w:tc>
        <w:tc>
          <w:tcPr>
            <w:tcW w:w="432" w:type="dxa"/>
            <w:tcBorders>
              <w:top w:val="nil"/>
              <w:left w:val="nil"/>
              <w:bottom w:val="single" w:sz="4" w:space="0" w:color="auto"/>
              <w:right w:val="single" w:sz="4" w:space="0" w:color="auto"/>
            </w:tcBorders>
            <w:shd w:val="clear" w:color="000000" w:fill="F4B084"/>
            <w:noWrap/>
            <w:vAlign w:val="center"/>
            <w:hideMark/>
          </w:tcPr>
          <w:p w14:paraId="44D4D805"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70</w:t>
            </w:r>
          </w:p>
        </w:tc>
        <w:tc>
          <w:tcPr>
            <w:tcW w:w="497" w:type="dxa"/>
            <w:tcBorders>
              <w:top w:val="nil"/>
              <w:left w:val="nil"/>
              <w:bottom w:val="single" w:sz="4" w:space="0" w:color="auto"/>
              <w:right w:val="single" w:sz="4" w:space="0" w:color="auto"/>
            </w:tcBorders>
            <w:shd w:val="clear" w:color="000000" w:fill="F8CBAD"/>
            <w:noWrap/>
            <w:vAlign w:val="center"/>
            <w:hideMark/>
          </w:tcPr>
          <w:p w14:paraId="34701135"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52.5</w:t>
            </w:r>
          </w:p>
        </w:tc>
        <w:tc>
          <w:tcPr>
            <w:tcW w:w="641" w:type="dxa"/>
            <w:tcBorders>
              <w:top w:val="nil"/>
              <w:left w:val="nil"/>
              <w:bottom w:val="single" w:sz="4" w:space="0" w:color="auto"/>
              <w:right w:val="single" w:sz="4" w:space="0" w:color="auto"/>
            </w:tcBorders>
            <w:shd w:val="clear" w:color="auto" w:fill="auto"/>
            <w:noWrap/>
            <w:vAlign w:val="center"/>
            <w:hideMark/>
          </w:tcPr>
          <w:p w14:paraId="4A50EC7B"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925</w:t>
            </w:r>
          </w:p>
        </w:tc>
        <w:tc>
          <w:tcPr>
            <w:tcW w:w="639" w:type="dxa"/>
            <w:tcBorders>
              <w:top w:val="nil"/>
              <w:left w:val="nil"/>
              <w:bottom w:val="single" w:sz="4" w:space="0" w:color="auto"/>
              <w:right w:val="single" w:sz="4" w:space="0" w:color="auto"/>
            </w:tcBorders>
            <w:shd w:val="clear" w:color="auto" w:fill="auto"/>
            <w:noWrap/>
            <w:vAlign w:val="center"/>
            <w:hideMark/>
          </w:tcPr>
          <w:p w14:paraId="1D8CF670"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925</w:t>
            </w:r>
          </w:p>
        </w:tc>
        <w:tc>
          <w:tcPr>
            <w:tcW w:w="460" w:type="dxa"/>
            <w:tcBorders>
              <w:top w:val="nil"/>
              <w:left w:val="nil"/>
              <w:bottom w:val="single" w:sz="4" w:space="0" w:color="auto"/>
              <w:right w:val="single" w:sz="4" w:space="0" w:color="auto"/>
            </w:tcBorders>
            <w:shd w:val="clear" w:color="000000" w:fill="B4C6E7"/>
            <w:vAlign w:val="center"/>
            <w:hideMark/>
          </w:tcPr>
          <w:p w14:paraId="43D6F2AA"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92</w:t>
            </w:r>
          </w:p>
        </w:tc>
        <w:tc>
          <w:tcPr>
            <w:tcW w:w="640" w:type="dxa"/>
            <w:tcBorders>
              <w:top w:val="nil"/>
              <w:left w:val="nil"/>
              <w:bottom w:val="single" w:sz="4" w:space="0" w:color="auto"/>
              <w:right w:val="single" w:sz="4" w:space="0" w:color="auto"/>
            </w:tcBorders>
            <w:shd w:val="clear" w:color="000000" w:fill="DDEBF7"/>
            <w:vAlign w:val="center"/>
            <w:hideMark/>
          </w:tcPr>
          <w:p w14:paraId="282844A4"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46</w:t>
            </w:r>
          </w:p>
        </w:tc>
        <w:tc>
          <w:tcPr>
            <w:tcW w:w="420" w:type="dxa"/>
            <w:tcBorders>
              <w:top w:val="nil"/>
              <w:left w:val="nil"/>
              <w:bottom w:val="single" w:sz="4" w:space="0" w:color="auto"/>
              <w:right w:val="single" w:sz="4" w:space="0" w:color="auto"/>
            </w:tcBorders>
            <w:shd w:val="clear" w:color="000000" w:fill="00B050"/>
            <w:vAlign w:val="center"/>
            <w:hideMark/>
          </w:tcPr>
          <w:p w14:paraId="2BDE1C19"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184</w:t>
            </w:r>
          </w:p>
        </w:tc>
        <w:tc>
          <w:tcPr>
            <w:tcW w:w="460" w:type="dxa"/>
            <w:tcBorders>
              <w:top w:val="nil"/>
              <w:left w:val="nil"/>
              <w:bottom w:val="single" w:sz="4" w:space="0" w:color="auto"/>
              <w:right w:val="single" w:sz="4" w:space="0" w:color="auto"/>
            </w:tcBorders>
            <w:shd w:val="clear" w:color="000000" w:fill="00B050"/>
            <w:vAlign w:val="center"/>
            <w:hideMark/>
          </w:tcPr>
          <w:p w14:paraId="02E8C0BB"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138</w:t>
            </w:r>
          </w:p>
        </w:tc>
        <w:tc>
          <w:tcPr>
            <w:tcW w:w="620" w:type="dxa"/>
            <w:tcBorders>
              <w:top w:val="nil"/>
              <w:left w:val="nil"/>
              <w:bottom w:val="single" w:sz="4" w:space="0" w:color="auto"/>
              <w:right w:val="single" w:sz="4" w:space="0" w:color="auto"/>
            </w:tcBorders>
            <w:shd w:val="clear" w:color="auto" w:fill="auto"/>
            <w:vAlign w:val="center"/>
            <w:hideMark/>
          </w:tcPr>
          <w:p w14:paraId="36366AA6"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965.0</w:t>
            </w:r>
          </w:p>
        </w:tc>
        <w:tc>
          <w:tcPr>
            <w:tcW w:w="620" w:type="dxa"/>
            <w:tcBorders>
              <w:top w:val="nil"/>
              <w:left w:val="nil"/>
              <w:bottom w:val="single" w:sz="4" w:space="0" w:color="auto"/>
              <w:right w:val="single" w:sz="4" w:space="0" w:color="auto"/>
            </w:tcBorders>
            <w:shd w:val="clear" w:color="auto" w:fill="auto"/>
            <w:vAlign w:val="center"/>
            <w:hideMark/>
          </w:tcPr>
          <w:p w14:paraId="60A63C4B"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825.0</w:t>
            </w:r>
          </w:p>
        </w:tc>
        <w:tc>
          <w:tcPr>
            <w:tcW w:w="660" w:type="dxa"/>
            <w:tcBorders>
              <w:top w:val="nil"/>
              <w:left w:val="nil"/>
              <w:bottom w:val="single" w:sz="4" w:space="0" w:color="auto"/>
              <w:right w:val="single" w:sz="4" w:space="0" w:color="auto"/>
            </w:tcBorders>
            <w:shd w:val="clear" w:color="auto" w:fill="auto"/>
            <w:vAlign w:val="center"/>
            <w:hideMark/>
          </w:tcPr>
          <w:p w14:paraId="6463FFDB"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68.2</w:t>
            </w:r>
          </w:p>
        </w:tc>
        <w:tc>
          <w:tcPr>
            <w:tcW w:w="720" w:type="dxa"/>
            <w:tcBorders>
              <w:top w:val="nil"/>
              <w:left w:val="nil"/>
              <w:bottom w:val="single" w:sz="4" w:space="0" w:color="auto"/>
              <w:right w:val="single" w:sz="4" w:space="0" w:color="auto"/>
            </w:tcBorders>
            <w:shd w:val="clear" w:color="auto" w:fill="auto"/>
            <w:vAlign w:val="center"/>
            <w:hideMark/>
          </w:tcPr>
          <w:p w14:paraId="6B5B6300"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51.36</w:t>
            </w:r>
          </w:p>
        </w:tc>
      </w:tr>
      <w:tr w:rsidR="00ED5CC4" w:rsidRPr="00ED5CC4" w14:paraId="45CCE5A4" w14:textId="77777777" w:rsidTr="00ED5CC4">
        <w:trPr>
          <w:trHeight w:val="240"/>
          <w:jc w:val="center"/>
        </w:trPr>
        <w:tc>
          <w:tcPr>
            <w:tcW w:w="519" w:type="dxa"/>
            <w:vMerge/>
            <w:tcBorders>
              <w:top w:val="nil"/>
              <w:left w:val="single" w:sz="4" w:space="0" w:color="auto"/>
              <w:bottom w:val="single" w:sz="4" w:space="0" w:color="auto"/>
              <w:right w:val="single" w:sz="4" w:space="0" w:color="auto"/>
            </w:tcBorders>
            <w:vAlign w:val="center"/>
            <w:hideMark/>
          </w:tcPr>
          <w:p w14:paraId="7B2428F7" w14:textId="77777777" w:rsidR="00ED5CC4" w:rsidRPr="00ED5CC4" w:rsidRDefault="00ED5CC4" w:rsidP="00ED5CC4">
            <w:pPr>
              <w:overflowPunct/>
              <w:autoSpaceDE/>
              <w:autoSpaceDN/>
              <w:adjustRightInd/>
              <w:spacing w:after="0"/>
              <w:textAlignment w:val="auto"/>
              <w:rPr>
                <w:rFonts w:ascii="Calibri" w:hAnsi="Calibri" w:cs="Calibri"/>
                <w:color w:val="000000"/>
                <w:sz w:val="18"/>
                <w:szCs w:val="18"/>
                <w:lang w:val="en-US" w:eastAsia="en-US"/>
              </w:rPr>
            </w:pPr>
          </w:p>
        </w:tc>
        <w:tc>
          <w:tcPr>
            <w:tcW w:w="432" w:type="dxa"/>
            <w:tcBorders>
              <w:top w:val="nil"/>
              <w:left w:val="nil"/>
              <w:bottom w:val="single" w:sz="4" w:space="0" w:color="auto"/>
              <w:right w:val="single" w:sz="4" w:space="0" w:color="auto"/>
            </w:tcBorders>
            <w:shd w:val="clear" w:color="000000" w:fill="D9D9D9"/>
            <w:noWrap/>
            <w:vAlign w:val="center"/>
            <w:hideMark/>
          </w:tcPr>
          <w:p w14:paraId="35447B3A"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40</w:t>
            </w:r>
          </w:p>
        </w:tc>
        <w:tc>
          <w:tcPr>
            <w:tcW w:w="432" w:type="dxa"/>
            <w:tcBorders>
              <w:top w:val="nil"/>
              <w:left w:val="nil"/>
              <w:bottom w:val="single" w:sz="4" w:space="0" w:color="auto"/>
              <w:right w:val="single" w:sz="4" w:space="0" w:color="auto"/>
            </w:tcBorders>
            <w:shd w:val="clear" w:color="000000" w:fill="ED7D31"/>
            <w:noWrap/>
            <w:vAlign w:val="center"/>
            <w:hideMark/>
          </w:tcPr>
          <w:p w14:paraId="1F381E57"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80</w:t>
            </w:r>
          </w:p>
        </w:tc>
        <w:tc>
          <w:tcPr>
            <w:tcW w:w="497" w:type="dxa"/>
            <w:tcBorders>
              <w:top w:val="nil"/>
              <w:left w:val="nil"/>
              <w:bottom w:val="single" w:sz="4" w:space="0" w:color="auto"/>
              <w:right w:val="single" w:sz="4" w:space="0" w:color="auto"/>
            </w:tcBorders>
            <w:shd w:val="clear" w:color="000000" w:fill="F8CBAD"/>
            <w:noWrap/>
            <w:vAlign w:val="center"/>
            <w:hideMark/>
          </w:tcPr>
          <w:p w14:paraId="46F0A0E8"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60</w:t>
            </w:r>
          </w:p>
        </w:tc>
        <w:tc>
          <w:tcPr>
            <w:tcW w:w="641" w:type="dxa"/>
            <w:tcBorders>
              <w:top w:val="nil"/>
              <w:left w:val="nil"/>
              <w:bottom w:val="single" w:sz="4" w:space="0" w:color="auto"/>
              <w:right w:val="single" w:sz="4" w:space="0" w:color="auto"/>
            </w:tcBorders>
            <w:shd w:val="clear" w:color="auto" w:fill="auto"/>
            <w:noWrap/>
            <w:vAlign w:val="center"/>
            <w:hideMark/>
          </w:tcPr>
          <w:p w14:paraId="1859D20E"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905</w:t>
            </w:r>
          </w:p>
        </w:tc>
        <w:tc>
          <w:tcPr>
            <w:tcW w:w="639" w:type="dxa"/>
            <w:tcBorders>
              <w:top w:val="nil"/>
              <w:left w:val="nil"/>
              <w:bottom w:val="single" w:sz="4" w:space="0" w:color="auto"/>
              <w:right w:val="single" w:sz="4" w:space="0" w:color="auto"/>
            </w:tcBorders>
            <w:shd w:val="clear" w:color="auto" w:fill="auto"/>
            <w:noWrap/>
            <w:vAlign w:val="center"/>
            <w:hideMark/>
          </w:tcPr>
          <w:p w14:paraId="48DC1A88"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1065</w:t>
            </w:r>
          </w:p>
        </w:tc>
        <w:tc>
          <w:tcPr>
            <w:tcW w:w="460" w:type="dxa"/>
            <w:tcBorders>
              <w:top w:val="nil"/>
              <w:left w:val="nil"/>
              <w:bottom w:val="single" w:sz="4" w:space="0" w:color="auto"/>
              <w:right w:val="single" w:sz="4" w:space="0" w:color="auto"/>
            </w:tcBorders>
            <w:shd w:val="clear" w:color="000000" w:fill="B4C6E7"/>
            <w:vAlign w:val="center"/>
            <w:hideMark/>
          </w:tcPr>
          <w:p w14:paraId="3EF2BD21"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106</w:t>
            </w:r>
          </w:p>
        </w:tc>
        <w:tc>
          <w:tcPr>
            <w:tcW w:w="640" w:type="dxa"/>
            <w:tcBorders>
              <w:top w:val="nil"/>
              <w:left w:val="nil"/>
              <w:bottom w:val="single" w:sz="4" w:space="0" w:color="auto"/>
              <w:right w:val="single" w:sz="4" w:space="0" w:color="auto"/>
            </w:tcBorders>
            <w:shd w:val="clear" w:color="000000" w:fill="DDEBF7"/>
            <w:vAlign w:val="center"/>
            <w:hideMark/>
          </w:tcPr>
          <w:p w14:paraId="014E8025"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53</w:t>
            </w:r>
          </w:p>
        </w:tc>
        <w:tc>
          <w:tcPr>
            <w:tcW w:w="420" w:type="dxa"/>
            <w:tcBorders>
              <w:top w:val="nil"/>
              <w:left w:val="nil"/>
              <w:bottom w:val="single" w:sz="4" w:space="0" w:color="auto"/>
              <w:right w:val="single" w:sz="4" w:space="0" w:color="auto"/>
            </w:tcBorders>
            <w:shd w:val="clear" w:color="000000" w:fill="00B050"/>
            <w:vAlign w:val="center"/>
            <w:hideMark/>
          </w:tcPr>
          <w:p w14:paraId="3B96C729"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212</w:t>
            </w:r>
          </w:p>
        </w:tc>
        <w:tc>
          <w:tcPr>
            <w:tcW w:w="460" w:type="dxa"/>
            <w:tcBorders>
              <w:top w:val="nil"/>
              <w:left w:val="nil"/>
              <w:bottom w:val="single" w:sz="4" w:space="0" w:color="auto"/>
              <w:right w:val="single" w:sz="4" w:space="0" w:color="auto"/>
            </w:tcBorders>
            <w:shd w:val="clear" w:color="000000" w:fill="00B050"/>
            <w:vAlign w:val="center"/>
            <w:hideMark/>
          </w:tcPr>
          <w:p w14:paraId="226340D2"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159</w:t>
            </w:r>
          </w:p>
        </w:tc>
        <w:tc>
          <w:tcPr>
            <w:tcW w:w="620" w:type="dxa"/>
            <w:tcBorders>
              <w:top w:val="nil"/>
              <w:left w:val="nil"/>
              <w:bottom w:val="single" w:sz="4" w:space="0" w:color="auto"/>
              <w:right w:val="single" w:sz="4" w:space="0" w:color="auto"/>
            </w:tcBorders>
            <w:shd w:val="clear" w:color="auto" w:fill="auto"/>
            <w:vAlign w:val="center"/>
            <w:hideMark/>
          </w:tcPr>
          <w:p w14:paraId="54BA7DD2"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925.0</w:t>
            </w:r>
          </w:p>
        </w:tc>
        <w:tc>
          <w:tcPr>
            <w:tcW w:w="620" w:type="dxa"/>
            <w:tcBorders>
              <w:top w:val="nil"/>
              <w:left w:val="nil"/>
              <w:bottom w:val="single" w:sz="4" w:space="0" w:color="auto"/>
              <w:right w:val="single" w:sz="4" w:space="0" w:color="auto"/>
            </w:tcBorders>
            <w:shd w:val="clear" w:color="auto" w:fill="auto"/>
            <w:vAlign w:val="center"/>
            <w:hideMark/>
          </w:tcPr>
          <w:p w14:paraId="1179D0B6"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825.0</w:t>
            </w:r>
          </w:p>
        </w:tc>
        <w:tc>
          <w:tcPr>
            <w:tcW w:w="660" w:type="dxa"/>
            <w:tcBorders>
              <w:top w:val="nil"/>
              <w:left w:val="nil"/>
              <w:bottom w:val="single" w:sz="4" w:space="0" w:color="auto"/>
              <w:right w:val="single" w:sz="4" w:space="0" w:color="auto"/>
            </w:tcBorders>
            <w:shd w:val="clear" w:color="auto" w:fill="auto"/>
            <w:vAlign w:val="center"/>
            <w:hideMark/>
          </w:tcPr>
          <w:p w14:paraId="09488D6B"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78.2</w:t>
            </w:r>
          </w:p>
        </w:tc>
        <w:tc>
          <w:tcPr>
            <w:tcW w:w="720" w:type="dxa"/>
            <w:tcBorders>
              <w:top w:val="nil"/>
              <w:left w:val="nil"/>
              <w:bottom w:val="single" w:sz="4" w:space="0" w:color="auto"/>
              <w:right w:val="single" w:sz="4" w:space="0" w:color="auto"/>
            </w:tcBorders>
            <w:shd w:val="clear" w:color="auto" w:fill="auto"/>
            <w:vAlign w:val="center"/>
            <w:hideMark/>
          </w:tcPr>
          <w:p w14:paraId="3F65F74C"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58.92</w:t>
            </w:r>
          </w:p>
        </w:tc>
      </w:tr>
      <w:tr w:rsidR="00ED5CC4" w:rsidRPr="00ED5CC4" w14:paraId="4A2A7162" w14:textId="77777777" w:rsidTr="00ED5CC4">
        <w:trPr>
          <w:trHeight w:val="240"/>
          <w:jc w:val="center"/>
        </w:trPr>
        <w:tc>
          <w:tcPr>
            <w:tcW w:w="519" w:type="dxa"/>
            <w:vMerge/>
            <w:tcBorders>
              <w:top w:val="nil"/>
              <w:left w:val="single" w:sz="4" w:space="0" w:color="auto"/>
              <w:bottom w:val="single" w:sz="4" w:space="0" w:color="auto"/>
              <w:right w:val="single" w:sz="4" w:space="0" w:color="auto"/>
            </w:tcBorders>
            <w:vAlign w:val="center"/>
            <w:hideMark/>
          </w:tcPr>
          <w:p w14:paraId="6092A5E9" w14:textId="77777777" w:rsidR="00ED5CC4" w:rsidRPr="00ED5CC4" w:rsidRDefault="00ED5CC4" w:rsidP="00ED5CC4">
            <w:pPr>
              <w:overflowPunct/>
              <w:autoSpaceDE/>
              <w:autoSpaceDN/>
              <w:adjustRightInd/>
              <w:spacing w:after="0"/>
              <w:textAlignment w:val="auto"/>
              <w:rPr>
                <w:rFonts w:ascii="Calibri" w:hAnsi="Calibri" w:cs="Calibri"/>
                <w:color w:val="000000"/>
                <w:sz w:val="18"/>
                <w:szCs w:val="18"/>
                <w:lang w:val="en-US" w:eastAsia="en-US"/>
              </w:rPr>
            </w:pPr>
          </w:p>
        </w:tc>
        <w:tc>
          <w:tcPr>
            <w:tcW w:w="432" w:type="dxa"/>
            <w:tcBorders>
              <w:top w:val="nil"/>
              <w:left w:val="nil"/>
              <w:bottom w:val="single" w:sz="4" w:space="0" w:color="auto"/>
              <w:right w:val="single" w:sz="4" w:space="0" w:color="auto"/>
            </w:tcBorders>
            <w:shd w:val="clear" w:color="000000" w:fill="BFBFBF"/>
            <w:noWrap/>
            <w:vAlign w:val="center"/>
            <w:hideMark/>
          </w:tcPr>
          <w:p w14:paraId="74F3B39C"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45</w:t>
            </w:r>
          </w:p>
        </w:tc>
        <w:tc>
          <w:tcPr>
            <w:tcW w:w="432" w:type="dxa"/>
            <w:tcBorders>
              <w:top w:val="nil"/>
              <w:left w:val="nil"/>
              <w:bottom w:val="single" w:sz="4" w:space="0" w:color="auto"/>
              <w:right w:val="single" w:sz="4" w:space="0" w:color="auto"/>
            </w:tcBorders>
            <w:shd w:val="clear" w:color="000000" w:fill="C65911"/>
            <w:noWrap/>
            <w:vAlign w:val="center"/>
            <w:hideMark/>
          </w:tcPr>
          <w:p w14:paraId="443E4AF4"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90</w:t>
            </w:r>
          </w:p>
        </w:tc>
        <w:tc>
          <w:tcPr>
            <w:tcW w:w="497" w:type="dxa"/>
            <w:tcBorders>
              <w:top w:val="nil"/>
              <w:left w:val="nil"/>
              <w:bottom w:val="single" w:sz="4" w:space="0" w:color="auto"/>
              <w:right w:val="single" w:sz="4" w:space="0" w:color="auto"/>
            </w:tcBorders>
            <w:shd w:val="clear" w:color="000000" w:fill="F4B084"/>
            <w:noWrap/>
            <w:vAlign w:val="center"/>
            <w:hideMark/>
          </w:tcPr>
          <w:p w14:paraId="24CE400B"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67.5</w:t>
            </w:r>
          </w:p>
        </w:tc>
        <w:tc>
          <w:tcPr>
            <w:tcW w:w="641" w:type="dxa"/>
            <w:tcBorders>
              <w:top w:val="nil"/>
              <w:left w:val="nil"/>
              <w:bottom w:val="single" w:sz="4" w:space="0" w:color="auto"/>
              <w:right w:val="single" w:sz="4" w:space="0" w:color="auto"/>
            </w:tcBorders>
            <w:shd w:val="clear" w:color="auto" w:fill="auto"/>
            <w:noWrap/>
            <w:vAlign w:val="center"/>
            <w:hideMark/>
          </w:tcPr>
          <w:p w14:paraId="177BB1D4"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1065</w:t>
            </w:r>
          </w:p>
        </w:tc>
        <w:tc>
          <w:tcPr>
            <w:tcW w:w="639" w:type="dxa"/>
            <w:tcBorders>
              <w:top w:val="nil"/>
              <w:left w:val="nil"/>
              <w:bottom w:val="single" w:sz="4" w:space="0" w:color="auto"/>
              <w:right w:val="single" w:sz="4" w:space="0" w:color="auto"/>
            </w:tcBorders>
            <w:shd w:val="clear" w:color="auto" w:fill="auto"/>
            <w:noWrap/>
            <w:vAlign w:val="center"/>
            <w:hideMark/>
          </w:tcPr>
          <w:p w14:paraId="7F61BE98"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1065</w:t>
            </w:r>
          </w:p>
        </w:tc>
        <w:tc>
          <w:tcPr>
            <w:tcW w:w="460" w:type="dxa"/>
            <w:tcBorders>
              <w:top w:val="nil"/>
              <w:left w:val="nil"/>
              <w:bottom w:val="single" w:sz="4" w:space="0" w:color="auto"/>
              <w:right w:val="single" w:sz="4" w:space="0" w:color="auto"/>
            </w:tcBorders>
            <w:shd w:val="clear" w:color="000000" w:fill="B4C6E7"/>
            <w:vAlign w:val="center"/>
            <w:hideMark/>
          </w:tcPr>
          <w:p w14:paraId="63D9D057"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119</w:t>
            </w:r>
          </w:p>
        </w:tc>
        <w:tc>
          <w:tcPr>
            <w:tcW w:w="640" w:type="dxa"/>
            <w:tcBorders>
              <w:top w:val="nil"/>
              <w:left w:val="nil"/>
              <w:bottom w:val="single" w:sz="4" w:space="0" w:color="auto"/>
              <w:right w:val="single" w:sz="4" w:space="0" w:color="auto"/>
            </w:tcBorders>
            <w:shd w:val="clear" w:color="000000" w:fill="DDEBF7"/>
            <w:vAlign w:val="center"/>
            <w:hideMark/>
          </w:tcPr>
          <w:p w14:paraId="361A9503"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60</w:t>
            </w:r>
          </w:p>
        </w:tc>
        <w:tc>
          <w:tcPr>
            <w:tcW w:w="420" w:type="dxa"/>
            <w:tcBorders>
              <w:top w:val="nil"/>
              <w:left w:val="nil"/>
              <w:bottom w:val="single" w:sz="4" w:space="0" w:color="auto"/>
              <w:right w:val="single" w:sz="4" w:space="0" w:color="auto"/>
            </w:tcBorders>
            <w:shd w:val="clear" w:color="000000" w:fill="00B050"/>
            <w:vAlign w:val="center"/>
            <w:hideMark/>
          </w:tcPr>
          <w:p w14:paraId="34D37426"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239</w:t>
            </w:r>
          </w:p>
        </w:tc>
        <w:tc>
          <w:tcPr>
            <w:tcW w:w="460" w:type="dxa"/>
            <w:tcBorders>
              <w:top w:val="nil"/>
              <w:left w:val="nil"/>
              <w:bottom w:val="single" w:sz="4" w:space="0" w:color="auto"/>
              <w:right w:val="single" w:sz="4" w:space="0" w:color="auto"/>
            </w:tcBorders>
            <w:shd w:val="clear" w:color="000000" w:fill="00B050"/>
            <w:vAlign w:val="center"/>
            <w:hideMark/>
          </w:tcPr>
          <w:p w14:paraId="2F1BAA66"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179</w:t>
            </w:r>
          </w:p>
        </w:tc>
        <w:tc>
          <w:tcPr>
            <w:tcW w:w="620" w:type="dxa"/>
            <w:tcBorders>
              <w:top w:val="nil"/>
              <w:left w:val="nil"/>
              <w:bottom w:val="single" w:sz="4" w:space="0" w:color="auto"/>
              <w:right w:val="single" w:sz="4" w:space="0" w:color="auto"/>
            </w:tcBorders>
            <w:shd w:val="clear" w:color="auto" w:fill="auto"/>
            <w:vAlign w:val="center"/>
            <w:hideMark/>
          </w:tcPr>
          <w:p w14:paraId="5364E7AA"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885.0</w:t>
            </w:r>
          </w:p>
        </w:tc>
        <w:tc>
          <w:tcPr>
            <w:tcW w:w="620" w:type="dxa"/>
            <w:tcBorders>
              <w:top w:val="nil"/>
              <w:left w:val="nil"/>
              <w:bottom w:val="single" w:sz="4" w:space="0" w:color="auto"/>
              <w:right w:val="single" w:sz="4" w:space="0" w:color="auto"/>
            </w:tcBorders>
            <w:shd w:val="clear" w:color="auto" w:fill="auto"/>
            <w:vAlign w:val="center"/>
            <w:hideMark/>
          </w:tcPr>
          <w:p w14:paraId="61185214"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965.0</w:t>
            </w:r>
          </w:p>
        </w:tc>
        <w:tc>
          <w:tcPr>
            <w:tcW w:w="660" w:type="dxa"/>
            <w:tcBorders>
              <w:top w:val="nil"/>
              <w:left w:val="nil"/>
              <w:bottom w:val="single" w:sz="4" w:space="0" w:color="auto"/>
              <w:right w:val="single" w:sz="4" w:space="0" w:color="auto"/>
            </w:tcBorders>
            <w:shd w:val="clear" w:color="auto" w:fill="auto"/>
            <w:vAlign w:val="center"/>
            <w:hideMark/>
          </w:tcPr>
          <w:p w14:paraId="7D11A3A0"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87.84</w:t>
            </w:r>
          </w:p>
        </w:tc>
        <w:tc>
          <w:tcPr>
            <w:tcW w:w="720" w:type="dxa"/>
            <w:tcBorders>
              <w:top w:val="nil"/>
              <w:left w:val="nil"/>
              <w:bottom w:val="single" w:sz="4" w:space="0" w:color="auto"/>
              <w:right w:val="single" w:sz="4" w:space="0" w:color="auto"/>
            </w:tcBorders>
            <w:shd w:val="clear" w:color="auto" w:fill="auto"/>
            <w:vAlign w:val="center"/>
            <w:hideMark/>
          </w:tcPr>
          <w:p w14:paraId="28BF3394"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66.4</w:t>
            </w:r>
          </w:p>
        </w:tc>
      </w:tr>
      <w:tr w:rsidR="00ED5CC4" w:rsidRPr="00ED5CC4" w14:paraId="5E4AEC0F" w14:textId="77777777" w:rsidTr="00ED5CC4">
        <w:trPr>
          <w:trHeight w:val="240"/>
          <w:jc w:val="center"/>
        </w:trPr>
        <w:tc>
          <w:tcPr>
            <w:tcW w:w="519" w:type="dxa"/>
            <w:vMerge/>
            <w:tcBorders>
              <w:top w:val="nil"/>
              <w:left w:val="single" w:sz="4" w:space="0" w:color="auto"/>
              <w:bottom w:val="single" w:sz="4" w:space="0" w:color="auto"/>
              <w:right w:val="single" w:sz="4" w:space="0" w:color="auto"/>
            </w:tcBorders>
            <w:vAlign w:val="center"/>
            <w:hideMark/>
          </w:tcPr>
          <w:p w14:paraId="594C946B" w14:textId="77777777" w:rsidR="00ED5CC4" w:rsidRPr="00ED5CC4" w:rsidRDefault="00ED5CC4" w:rsidP="00ED5CC4">
            <w:pPr>
              <w:overflowPunct/>
              <w:autoSpaceDE/>
              <w:autoSpaceDN/>
              <w:adjustRightInd/>
              <w:spacing w:after="0"/>
              <w:textAlignment w:val="auto"/>
              <w:rPr>
                <w:rFonts w:ascii="Calibri" w:hAnsi="Calibri" w:cs="Calibri"/>
                <w:color w:val="000000"/>
                <w:sz w:val="18"/>
                <w:szCs w:val="18"/>
                <w:lang w:val="en-US" w:eastAsia="en-US"/>
              </w:rPr>
            </w:pPr>
          </w:p>
        </w:tc>
        <w:tc>
          <w:tcPr>
            <w:tcW w:w="432" w:type="dxa"/>
            <w:tcBorders>
              <w:top w:val="nil"/>
              <w:left w:val="nil"/>
              <w:bottom w:val="single" w:sz="4" w:space="0" w:color="auto"/>
              <w:right w:val="single" w:sz="4" w:space="0" w:color="auto"/>
            </w:tcBorders>
            <w:shd w:val="clear" w:color="000000" w:fill="FCE4D6"/>
            <w:noWrap/>
            <w:vAlign w:val="center"/>
            <w:hideMark/>
          </w:tcPr>
          <w:p w14:paraId="69E6A236"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50</w:t>
            </w:r>
          </w:p>
        </w:tc>
        <w:tc>
          <w:tcPr>
            <w:tcW w:w="432" w:type="dxa"/>
            <w:tcBorders>
              <w:top w:val="nil"/>
              <w:left w:val="nil"/>
              <w:bottom w:val="single" w:sz="4" w:space="0" w:color="auto"/>
              <w:right w:val="single" w:sz="4" w:space="0" w:color="auto"/>
            </w:tcBorders>
            <w:shd w:val="clear" w:color="000000" w:fill="833C0C"/>
            <w:noWrap/>
            <w:vAlign w:val="center"/>
            <w:hideMark/>
          </w:tcPr>
          <w:p w14:paraId="4FE9ED8C" w14:textId="77777777" w:rsidR="00ED5CC4" w:rsidRPr="00ED5CC4" w:rsidRDefault="00ED5CC4" w:rsidP="00ED5CC4">
            <w:pPr>
              <w:overflowPunct/>
              <w:autoSpaceDE/>
              <w:autoSpaceDN/>
              <w:adjustRightInd/>
              <w:spacing w:after="0"/>
              <w:jc w:val="center"/>
              <w:textAlignment w:val="auto"/>
              <w:rPr>
                <w:rFonts w:ascii="Calibri" w:hAnsi="Calibri" w:cs="Calibri"/>
                <w:b/>
                <w:bCs/>
                <w:color w:val="000000"/>
                <w:sz w:val="18"/>
                <w:szCs w:val="18"/>
                <w:lang w:val="en-US" w:eastAsia="en-US"/>
              </w:rPr>
            </w:pPr>
            <w:r w:rsidRPr="00ED5CC4">
              <w:rPr>
                <w:rFonts w:ascii="Calibri" w:hAnsi="Calibri" w:cs="Calibri"/>
                <w:b/>
                <w:bCs/>
                <w:color w:val="000000"/>
                <w:sz w:val="18"/>
                <w:szCs w:val="18"/>
                <w:lang w:val="en-US" w:eastAsia="en-US"/>
              </w:rPr>
              <w:t>100</w:t>
            </w:r>
          </w:p>
        </w:tc>
        <w:tc>
          <w:tcPr>
            <w:tcW w:w="497" w:type="dxa"/>
            <w:tcBorders>
              <w:top w:val="nil"/>
              <w:left w:val="nil"/>
              <w:bottom w:val="single" w:sz="4" w:space="0" w:color="auto"/>
              <w:right w:val="single" w:sz="4" w:space="0" w:color="auto"/>
            </w:tcBorders>
            <w:shd w:val="clear" w:color="000000" w:fill="F4B084"/>
            <w:noWrap/>
            <w:vAlign w:val="center"/>
            <w:hideMark/>
          </w:tcPr>
          <w:p w14:paraId="5C4AFE55"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75</w:t>
            </w:r>
          </w:p>
        </w:tc>
        <w:tc>
          <w:tcPr>
            <w:tcW w:w="641" w:type="dxa"/>
            <w:tcBorders>
              <w:top w:val="nil"/>
              <w:left w:val="nil"/>
              <w:bottom w:val="single" w:sz="4" w:space="0" w:color="auto"/>
              <w:right w:val="single" w:sz="4" w:space="0" w:color="auto"/>
            </w:tcBorders>
            <w:shd w:val="clear" w:color="auto" w:fill="auto"/>
            <w:noWrap/>
            <w:vAlign w:val="center"/>
            <w:hideMark/>
          </w:tcPr>
          <w:p w14:paraId="440BE0FD"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1045</w:t>
            </w:r>
          </w:p>
        </w:tc>
        <w:tc>
          <w:tcPr>
            <w:tcW w:w="639" w:type="dxa"/>
            <w:tcBorders>
              <w:top w:val="nil"/>
              <w:left w:val="nil"/>
              <w:bottom w:val="single" w:sz="4" w:space="0" w:color="auto"/>
              <w:right w:val="single" w:sz="4" w:space="0" w:color="auto"/>
            </w:tcBorders>
            <w:shd w:val="clear" w:color="auto" w:fill="auto"/>
            <w:noWrap/>
            <w:vAlign w:val="center"/>
            <w:hideMark/>
          </w:tcPr>
          <w:p w14:paraId="16C32926"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1045</w:t>
            </w:r>
          </w:p>
        </w:tc>
        <w:tc>
          <w:tcPr>
            <w:tcW w:w="460" w:type="dxa"/>
            <w:tcBorders>
              <w:top w:val="nil"/>
              <w:left w:val="nil"/>
              <w:bottom w:val="single" w:sz="4" w:space="0" w:color="auto"/>
              <w:right w:val="single" w:sz="4" w:space="0" w:color="auto"/>
            </w:tcBorders>
            <w:shd w:val="clear" w:color="000000" w:fill="B4C6E7"/>
            <w:vAlign w:val="center"/>
            <w:hideMark/>
          </w:tcPr>
          <w:p w14:paraId="580E451C"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133</w:t>
            </w:r>
          </w:p>
        </w:tc>
        <w:tc>
          <w:tcPr>
            <w:tcW w:w="640" w:type="dxa"/>
            <w:tcBorders>
              <w:top w:val="nil"/>
              <w:left w:val="nil"/>
              <w:bottom w:val="single" w:sz="4" w:space="0" w:color="auto"/>
              <w:right w:val="single" w:sz="4" w:space="0" w:color="auto"/>
            </w:tcBorders>
            <w:shd w:val="clear" w:color="000000" w:fill="DDEBF7"/>
            <w:vAlign w:val="center"/>
            <w:hideMark/>
          </w:tcPr>
          <w:p w14:paraId="367E26C1"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67</w:t>
            </w:r>
          </w:p>
        </w:tc>
        <w:tc>
          <w:tcPr>
            <w:tcW w:w="420" w:type="dxa"/>
            <w:tcBorders>
              <w:top w:val="nil"/>
              <w:left w:val="nil"/>
              <w:bottom w:val="single" w:sz="4" w:space="0" w:color="auto"/>
              <w:right w:val="single" w:sz="4" w:space="0" w:color="auto"/>
            </w:tcBorders>
            <w:shd w:val="clear" w:color="000000" w:fill="00B050"/>
            <w:vAlign w:val="center"/>
            <w:hideMark/>
          </w:tcPr>
          <w:p w14:paraId="20A17CF4"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267</w:t>
            </w:r>
          </w:p>
        </w:tc>
        <w:tc>
          <w:tcPr>
            <w:tcW w:w="460" w:type="dxa"/>
            <w:tcBorders>
              <w:top w:val="nil"/>
              <w:left w:val="nil"/>
              <w:bottom w:val="single" w:sz="4" w:space="0" w:color="auto"/>
              <w:right w:val="single" w:sz="4" w:space="0" w:color="auto"/>
            </w:tcBorders>
            <w:shd w:val="clear" w:color="000000" w:fill="00B050"/>
            <w:vAlign w:val="center"/>
            <w:hideMark/>
          </w:tcPr>
          <w:p w14:paraId="6E435103"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200</w:t>
            </w:r>
          </w:p>
        </w:tc>
        <w:tc>
          <w:tcPr>
            <w:tcW w:w="620" w:type="dxa"/>
            <w:tcBorders>
              <w:top w:val="nil"/>
              <w:left w:val="nil"/>
              <w:bottom w:val="single" w:sz="4" w:space="0" w:color="auto"/>
              <w:right w:val="single" w:sz="4" w:space="0" w:color="auto"/>
            </w:tcBorders>
            <w:shd w:val="clear" w:color="auto" w:fill="auto"/>
            <w:vAlign w:val="center"/>
            <w:hideMark/>
          </w:tcPr>
          <w:p w14:paraId="2787DF05"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845.0</w:t>
            </w:r>
          </w:p>
        </w:tc>
        <w:tc>
          <w:tcPr>
            <w:tcW w:w="620" w:type="dxa"/>
            <w:tcBorders>
              <w:top w:val="nil"/>
              <w:left w:val="nil"/>
              <w:bottom w:val="single" w:sz="4" w:space="0" w:color="auto"/>
              <w:right w:val="single" w:sz="4" w:space="0" w:color="auto"/>
            </w:tcBorders>
            <w:shd w:val="clear" w:color="auto" w:fill="auto"/>
            <w:vAlign w:val="center"/>
            <w:hideMark/>
          </w:tcPr>
          <w:p w14:paraId="22839145"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925.0</w:t>
            </w:r>
          </w:p>
        </w:tc>
        <w:tc>
          <w:tcPr>
            <w:tcW w:w="660" w:type="dxa"/>
            <w:tcBorders>
              <w:top w:val="nil"/>
              <w:left w:val="nil"/>
              <w:bottom w:val="single" w:sz="4" w:space="0" w:color="auto"/>
              <w:right w:val="single" w:sz="4" w:space="0" w:color="auto"/>
            </w:tcBorders>
            <w:shd w:val="clear" w:color="auto" w:fill="auto"/>
            <w:vAlign w:val="center"/>
            <w:hideMark/>
          </w:tcPr>
          <w:p w14:paraId="2C68BE5D"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97.84</w:t>
            </w:r>
          </w:p>
        </w:tc>
        <w:tc>
          <w:tcPr>
            <w:tcW w:w="720" w:type="dxa"/>
            <w:tcBorders>
              <w:top w:val="nil"/>
              <w:left w:val="nil"/>
              <w:bottom w:val="single" w:sz="4" w:space="0" w:color="auto"/>
              <w:right w:val="single" w:sz="4" w:space="0" w:color="auto"/>
            </w:tcBorders>
            <w:shd w:val="clear" w:color="auto" w:fill="auto"/>
            <w:vAlign w:val="center"/>
            <w:hideMark/>
          </w:tcPr>
          <w:p w14:paraId="495BB566"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73.88</w:t>
            </w:r>
          </w:p>
        </w:tc>
      </w:tr>
      <w:tr w:rsidR="00ED5CC4" w:rsidRPr="00ED5CC4" w14:paraId="07CCE1F4" w14:textId="77777777" w:rsidTr="00ED5CC4">
        <w:trPr>
          <w:trHeight w:val="240"/>
          <w:jc w:val="center"/>
        </w:trPr>
        <w:tc>
          <w:tcPr>
            <w:tcW w:w="519" w:type="dxa"/>
            <w:vMerge/>
            <w:tcBorders>
              <w:top w:val="nil"/>
              <w:left w:val="single" w:sz="4" w:space="0" w:color="auto"/>
              <w:bottom w:val="single" w:sz="4" w:space="0" w:color="auto"/>
              <w:right w:val="single" w:sz="4" w:space="0" w:color="auto"/>
            </w:tcBorders>
            <w:vAlign w:val="center"/>
            <w:hideMark/>
          </w:tcPr>
          <w:p w14:paraId="7B4EEBC3" w14:textId="77777777" w:rsidR="00ED5CC4" w:rsidRPr="00ED5CC4" w:rsidRDefault="00ED5CC4" w:rsidP="00ED5CC4">
            <w:pPr>
              <w:overflowPunct/>
              <w:autoSpaceDE/>
              <w:autoSpaceDN/>
              <w:adjustRightInd/>
              <w:spacing w:after="0"/>
              <w:textAlignment w:val="auto"/>
              <w:rPr>
                <w:rFonts w:ascii="Calibri" w:hAnsi="Calibri" w:cs="Calibri"/>
                <w:color w:val="000000"/>
                <w:sz w:val="18"/>
                <w:szCs w:val="18"/>
                <w:lang w:val="en-US" w:eastAsia="en-US"/>
              </w:rPr>
            </w:pPr>
          </w:p>
        </w:tc>
        <w:tc>
          <w:tcPr>
            <w:tcW w:w="432" w:type="dxa"/>
            <w:tcBorders>
              <w:top w:val="nil"/>
              <w:left w:val="nil"/>
              <w:bottom w:val="single" w:sz="4" w:space="0" w:color="auto"/>
              <w:right w:val="single" w:sz="4" w:space="0" w:color="auto"/>
            </w:tcBorders>
            <w:shd w:val="clear" w:color="000000" w:fill="F8CBAD"/>
            <w:noWrap/>
            <w:vAlign w:val="center"/>
            <w:hideMark/>
          </w:tcPr>
          <w:p w14:paraId="1DB7A2C2"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60</w:t>
            </w:r>
          </w:p>
        </w:tc>
        <w:tc>
          <w:tcPr>
            <w:tcW w:w="432" w:type="dxa"/>
            <w:tcBorders>
              <w:top w:val="nil"/>
              <w:left w:val="nil"/>
              <w:bottom w:val="single" w:sz="4" w:space="0" w:color="auto"/>
              <w:right w:val="single" w:sz="4" w:space="0" w:color="auto"/>
            </w:tcBorders>
            <w:shd w:val="clear" w:color="auto" w:fill="auto"/>
            <w:noWrap/>
            <w:vAlign w:val="center"/>
            <w:hideMark/>
          </w:tcPr>
          <w:p w14:paraId="28EBBD53"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120</w:t>
            </w:r>
          </w:p>
        </w:tc>
        <w:tc>
          <w:tcPr>
            <w:tcW w:w="497" w:type="dxa"/>
            <w:tcBorders>
              <w:top w:val="nil"/>
              <w:left w:val="nil"/>
              <w:bottom w:val="single" w:sz="4" w:space="0" w:color="auto"/>
              <w:right w:val="single" w:sz="4" w:space="0" w:color="auto"/>
            </w:tcBorders>
            <w:shd w:val="clear" w:color="000000" w:fill="C65911"/>
            <w:noWrap/>
            <w:vAlign w:val="center"/>
            <w:hideMark/>
          </w:tcPr>
          <w:p w14:paraId="76CAF29D"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90</w:t>
            </w:r>
          </w:p>
        </w:tc>
        <w:tc>
          <w:tcPr>
            <w:tcW w:w="641" w:type="dxa"/>
            <w:tcBorders>
              <w:top w:val="nil"/>
              <w:left w:val="nil"/>
              <w:bottom w:val="single" w:sz="4" w:space="0" w:color="auto"/>
              <w:right w:val="single" w:sz="4" w:space="0" w:color="auto"/>
            </w:tcBorders>
            <w:shd w:val="clear" w:color="auto" w:fill="auto"/>
            <w:noWrap/>
            <w:vAlign w:val="center"/>
            <w:hideMark/>
          </w:tcPr>
          <w:p w14:paraId="62CA6C97"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825</w:t>
            </w:r>
          </w:p>
        </w:tc>
        <w:tc>
          <w:tcPr>
            <w:tcW w:w="639" w:type="dxa"/>
            <w:tcBorders>
              <w:top w:val="nil"/>
              <w:left w:val="nil"/>
              <w:bottom w:val="single" w:sz="4" w:space="0" w:color="auto"/>
              <w:right w:val="single" w:sz="4" w:space="0" w:color="auto"/>
            </w:tcBorders>
            <w:shd w:val="clear" w:color="auto" w:fill="auto"/>
            <w:noWrap/>
            <w:vAlign w:val="center"/>
            <w:hideMark/>
          </w:tcPr>
          <w:p w14:paraId="0AB4CAEE"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965</w:t>
            </w:r>
          </w:p>
        </w:tc>
        <w:tc>
          <w:tcPr>
            <w:tcW w:w="460" w:type="dxa"/>
            <w:tcBorders>
              <w:top w:val="nil"/>
              <w:left w:val="nil"/>
              <w:bottom w:val="single" w:sz="4" w:space="0" w:color="auto"/>
              <w:right w:val="single" w:sz="4" w:space="0" w:color="auto"/>
            </w:tcBorders>
            <w:shd w:val="clear" w:color="000000" w:fill="B4C6E7"/>
            <w:vAlign w:val="center"/>
            <w:hideMark/>
          </w:tcPr>
          <w:p w14:paraId="54D9B96B"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162</w:t>
            </w:r>
          </w:p>
        </w:tc>
        <w:tc>
          <w:tcPr>
            <w:tcW w:w="640" w:type="dxa"/>
            <w:tcBorders>
              <w:top w:val="nil"/>
              <w:left w:val="nil"/>
              <w:bottom w:val="single" w:sz="4" w:space="0" w:color="auto"/>
              <w:right w:val="single" w:sz="4" w:space="0" w:color="auto"/>
            </w:tcBorders>
            <w:shd w:val="clear" w:color="000000" w:fill="DDEBF7"/>
            <w:vAlign w:val="center"/>
            <w:hideMark/>
          </w:tcPr>
          <w:p w14:paraId="3FAB171C"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81</w:t>
            </w:r>
          </w:p>
        </w:tc>
        <w:tc>
          <w:tcPr>
            <w:tcW w:w="420" w:type="dxa"/>
            <w:tcBorders>
              <w:top w:val="nil"/>
              <w:left w:val="nil"/>
              <w:bottom w:val="single" w:sz="4" w:space="0" w:color="auto"/>
              <w:right w:val="single" w:sz="4" w:space="0" w:color="auto"/>
            </w:tcBorders>
            <w:shd w:val="clear" w:color="auto" w:fill="auto"/>
            <w:vAlign w:val="center"/>
            <w:hideMark/>
          </w:tcPr>
          <w:p w14:paraId="21A273D3"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324</w:t>
            </w:r>
          </w:p>
        </w:tc>
        <w:tc>
          <w:tcPr>
            <w:tcW w:w="460" w:type="dxa"/>
            <w:tcBorders>
              <w:top w:val="nil"/>
              <w:left w:val="nil"/>
              <w:bottom w:val="single" w:sz="4" w:space="0" w:color="auto"/>
              <w:right w:val="single" w:sz="4" w:space="0" w:color="auto"/>
            </w:tcBorders>
            <w:shd w:val="clear" w:color="000000" w:fill="00B050"/>
            <w:vAlign w:val="center"/>
            <w:hideMark/>
          </w:tcPr>
          <w:p w14:paraId="704239A5"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243</w:t>
            </w:r>
          </w:p>
        </w:tc>
        <w:tc>
          <w:tcPr>
            <w:tcW w:w="620" w:type="dxa"/>
            <w:tcBorders>
              <w:top w:val="nil"/>
              <w:left w:val="nil"/>
              <w:bottom w:val="single" w:sz="4" w:space="0" w:color="auto"/>
              <w:right w:val="single" w:sz="4" w:space="0" w:color="auto"/>
            </w:tcBorders>
            <w:shd w:val="clear" w:color="auto" w:fill="auto"/>
            <w:vAlign w:val="center"/>
            <w:hideMark/>
          </w:tcPr>
          <w:p w14:paraId="37AA6089"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845.0</w:t>
            </w:r>
          </w:p>
        </w:tc>
        <w:tc>
          <w:tcPr>
            <w:tcW w:w="620" w:type="dxa"/>
            <w:tcBorders>
              <w:top w:val="nil"/>
              <w:left w:val="nil"/>
              <w:bottom w:val="single" w:sz="4" w:space="0" w:color="auto"/>
              <w:right w:val="single" w:sz="4" w:space="0" w:color="auto"/>
            </w:tcBorders>
            <w:shd w:val="clear" w:color="auto" w:fill="auto"/>
            <w:vAlign w:val="center"/>
            <w:hideMark/>
          </w:tcPr>
          <w:p w14:paraId="1E462956"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885.0</w:t>
            </w:r>
          </w:p>
        </w:tc>
        <w:tc>
          <w:tcPr>
            <w:tcW w:w="660" w:type="dxa"/>
            <w:tcBorders>
              <w:top w:val="nil"/>
              <w:left w:val="nil"/>
              <w:bottom w:val="single" w:sz="4" w:space="0" w:color="auto"/>
              <w:right w:val="single" w:sz="4" w:space="0" w:color="auto"/>
            </w:tcBorders>
            <w:shd w:val="clear" w:color="auto" w:fill="auto"/>
            <w:vAlign w:val="center"/>
            <w:hideMark/>
          </w:tcPr>
          <w:p w14:paraId="04AC7940"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118.36</w:t>
            </w:r>
          </w:p>
        </w:tc>
        <w:tc>
          <w:tcPr>
            <w:tcW w:w="720" w:type="dxa"/>
            <w:tcBorders>
              <w:top w:val="nil"/>
              <w:left w:val="nil"/>
              <w:bottom w:val="single" w:sz="4" w:space="0" w:color="auto"/>
              <w:right w:val="single" w:sz="4" w:space="0" w:color="auto"/>
            </w:tcBorders>
            <w:shd w:val="clear" w:color="auto" w:fill="auto"/>
            <w:vAlign w:val="center"/>
            <w:hideMark/>
          </w:tcPr>
          <w:p w14:paraId="67B437C8"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89.28</w:t>
            </w:r>
          </w:p>
        </w:tc>
      </w:tr>
      <w:tr w:rsidR="00ED5CC4" w:rsidRPr="00ED5CC4" w14:paraId="6BF5F649" w14:textId="77777777" w:rsidTr="00ED5CC4">
        <w:trPr>
          <w:trHeight w:val="240"/>
          <w:jc w:val="center"/>
        </w:trPr>
        <w:tc>
          <w:tcPr>
            <w:tcW w:w="519" w:type="dxa"/>
            <w:vMerge/>
            <w:tcBorders>
              <w:top w:val="nil"/>
              <w:left w:val="single" w:sz="4" w:space="0" w:color="auto"/>
              <w:bottom w:val="single" w:sz="4" w:space="0" w:color="auto"/>
              <w:right w:val="single" w:sz="4" w:space="0" w:color="auto"/>
            </w:tcBorders>
            <w:vAlign w:val="center"/>
            <w:hideMark/>
          </w:tcPr>
          <w:p w14:paraId="5A050F80" w14:textId="77777777" w:rsidR="00ED5CC4" w:rsidRPr="00ED5CC4" w:rsidRDefault="00ED5CC4" w:rsidP="00ED5CC4">
            <w:pPr>
              <w:overflowPunct/>
              <w:autoSpaceDE/>
              <w:autoSpaceDN/>
              <w:adjustRightInd/>
              <w:spacing w:after="0"/>
              <w:textAlignment w:val="auto"/>
              <w:rPr>
                <w:rFonts w:ascii="Calibri" w:hAnsi="Calibri" w:cs="Calibri"/>
                <w:color w:val="000000"/>
                <w:sz w:val="18"/>
                <w:szCs w:val="18"/>
                <w:lang w:val="en-US" w:eastAsia="en-US"/>
              </w:rPr>
            </w:pPr>
          </w:p>
        </w:tc>
        <w:tc>
          <w:tcPr>
            <w:tcW w:w="432" w:type="dxa"/>
            <w:tcBorders>
              <w:top w:val="nil"/>
              <w:left w:val="nil"/>
              <w:bottom w:val="single" w:sz="4" w:space="0" w:color="auto"/>
              <w:right w:val="single" w:sz="4" w:space="0" w:color="auto"/>
            </w:tcBorders>
            <w:shd w:val="clear" w:color="000000" w:fill="F4B084"/>
            <w:noWrap/>
            <w:vAlign w:val="center"/>
            <w:hideMark/>
          </w:tcPr>
          <w:p w14:paraId="0F3094BE"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70</w:t>
            </w:r>
          </w:p>
        </w:tc>
        <w:tc>
          <w:tcPr>
            <w:tcW w:w="432" w:type="dxa"/>
            <w:tcBorders>
              <w:top w:val="nil"/>
              <w:left w:val="nil"/>
              <w:bottom w:val="single" w:sz="4" w:space="0" w:color="auto"/>
              <w:right w:val="single" w:sz="4" w:space="0" w:color="auto"/>
            </w:tcBorders>
            <w:shd w:val="clear" w:color="auto" w:fill="auto"/>
            <w:noWrap/>
            <w:vAlign w:val="center"/>
            <w:hideMark/>
          </w:tcPr>
          <w:p w14:paraId="55C6FE6F"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140</w:t>
            </w:r>
          </w:p>
        </w:tc>
        <w:tc>
          <w:tcPr>
            <w:tcW w:w="497" w:type="dxa"/>
            <w:tcBorders>
              <w:top w:val="nil"/>
              <w:left w:val="nil"/>
              <w:bottom w:val="single" w:sz="4" w:space="0" w:color="auto"/>
              <w:right w:val="single" w:sz="4" w:space="0" w:color="auto"/>
            </w:tcBorders>
            <w:shd w:val="clear" w:color="auto" w:fill="auto"/>
            <w:noWrap/>
            <w:vAlign w:val="center"/>
            <w:hideMark/>
          </w:tcPr>
          <w:p w14:paraId="4E1BD81E"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105</w:t>
            </w:r>
          </w:p>
        </w:tc>
        <w:tc>
          <w:tcPr>
            <w:tcW w:w="641" w:type="dxa"/>
            <w:tcBorders>
              <w:top w:val="nil"/>
              <w:left w:val="nil"/>
              <w:bottom w:val="single" w:sz="4" w:space="0" w:color="auto"/>
              <w:right w:val="single" w:sz="4" w:space="0" w:color="auto"/>
            </w:tcBorders>
            <w:shd w:val="clear" w:color="auto" w:fill="auto"/>
            <w:noWrap/>
            <w:vAlign w:val="center"/>
            <w:hideMark/>
          </w:tcPr>
          <w:p w14:paraId="1D3ED10A"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965</w:t>
            </w:r>
          </w:p>
        </w:tc>
        <w:tc>
          <w:tcPr>
            <w:tcW w:w="639" w:type="dxa"/>
            <w:tcBorders>
              <w:top w:val="nil"/>
              <w:left w:val="nil"/>
              <w:bottom w:val="single" w:sz="4" w:space="0" w:color="auto"/>
              <w:right w:val="single" w:sz="4" w:space="0" w:color="auto"/>
            </w:tcBorders>
            <w:shd w:val="clear" w:color="auto" w:fill="auto"/>
            <w:noWrap/>
            <w:vAlign w:val="center"/>
            <w:hideMark/>
          </w:tcPr>
          <w:p w14:paraId="0DE633D1"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965</w:t>
            </w:r>
          </w:p>
        </w:tc>
        <w:tc>
          <w:tcPr>
            <w:tcW w:w="460" w:type="dxa"/>
            <w:tcBorders>
              <w:top w:val="nil"/>
              <w:left w:val="nil"/>
              <w:bottom w:val="single" w:sz="4" w:space="0" w:color="auto"/>
              <w:right w:val="single" w:sz="4" w:space="0" w:color="auto"/>
            </w:tcBorders>
            <w:shd w:val="clear" w:color="000000" w:fill="B4C6E7"/>
            <w:vAlign w:val="center"/>
            <w:hideMark/>
          </w:tcPr>
          <w:p w14:paraId="535EA1D5"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189</w:t>
            </w:r>
          </w:p>
        </w:tc>
        <w:tc>
          <w:tcPr>
            <w:tcW w:w="640" w:type="dxa"/>
            <w:tcBorders>
              <w:top w:val="nil"/>
              <w:left w:val="nil"/>
              <w:bottom w:val="single" w:sz="4" w:space="0" w:color="auto"/>
              <w:right w:val="single" w:sz="4" w:space="0" w:color="auto"/>
            </w:tcBorders>
            <w:shd w:val="clear" w:color="000000" w:fill="DDEBF7"/>
            <w:vAlign w:val="center"/>
            <w:hideMark/>
          </w:tcPr>
          <w:p w14:paraId="7073381A"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95</w:t>
            </w:r>
          </w:p>
        </w:tc>
        <w:tc>
          <w:tcPr>
            <w:tcW w:w="420" w:type="dxa"/>
            <w:tcBorders>
              <w:top w:val="nil"/>
              <w:left w:val="nil"/>
              <w:bottom w:val="single" w:sz="4" w:space="0" w:color="auto"/>
              <w:right w:val="single" w:sz="4" w:space="0" w:color="auto"/>
            </w:tcBorders>
            <w:shd w:val="clear" w:color="auto" w:fill="auto"/>
            <w:vAlign w:val="center"/>
            <w:hideMark/>
          </w:tcPr>
          <w:p w14:paraId="0F3C217A"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379</w:t>
            </w:r>
          </w:p>
        </w:tc>
        <w:tc>
          <w:tcPr>
            <w:tcW w:w="460" w:type="dxa"/>
            <w:tcBorders>
              <w:top w:val="nil"/>
              <w:left w:val="nil"/>
              <w:bottom w:val="single" w:sz="4" w:space="0" w:color="auto"/>
              <w:right w:val="single" w:sz="4" w:space="0" w:color="auto"/>
            </w:tcBorders>
            <w:shd w:val="clear" w:color="auto" w:fill="auto"/>
            <w:vAlign w:val="center"/>
            <w:hideMark/>
          </w:tcPr>
          <w:p w14:paraId="10DD0BAE"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284</w:t>
            </w:r>
          </w:p>
        </w:tc>
        <w:tc>
          <w:tcPr>
            <w:tcW w:w="620" w:type="dxa"/>
            <w:tcBorders>
              <w:top w:val="nil"/>
              <w:left w:val="nil"/>
              <w:bottom w:val="single" w:sz="4" w:space="0" w:color="auto"/>
              <w:right w:val="single" w:sz="4" w:space="0" w:color="auto"/>
            </w:tcBorders>
            <w:shd w:val="clear" w:color="auto" w:fill="auto"/>
            <w:vAlign w:val="center"/>
            <w:hideMark/>
          </w:tcPr>
          <w:p w14:paraId="0B15DB32"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845.0</w:t>
            </w:r>
          </w:p>
        </w:tc>
        <w:tc>
          <w:tcPr>
            <w:tcW w:w="620" w:type="dxa"/>
            <w:tcBorders>
              <w:top w:val="nil"/>
              <w:left w:val="nil"/>
              <w:bottom w:val="single" w:sz="4" w:space="0" w:color="auto"/>
              <w:right w:val="single" w:sz="4" w:space="0" w:color="auto"/>
            </w:tcBorders>
            <w:shd w:val="clear" w:color="auto" w:fill="auto"/>
            <w:vAlign w:val="center"/>
            <w:hideMark/>
          </w:tcPr>
          <w:p w14:paraId="6086BD7E"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845.0</w:t>
            </w:r>
          </w:p>
        </w:tc>
        <w:tc>
          <w:tcPr>
            <w:tcW w:w="660" w:type="dxa"/>
            <w:tcBorders>
              <w:top w:val="nil"/>
              <w:left w:val="nil"/>
              <w:bottom w:val="single" w:sz="4" w:space="0" w:color="auto"/>
              <w:right w:val="single" w:sz="4" w:space="0" w:color="auto"/>
            </w:tcBorders>
            <w:shd w:val="clear" w:color="auto" w:fill="auto"/>
            <w:vAlign w:val="center"/>
            <w:hideMark/>
          </w:tcPr>
          <w:p w14:paraId="2C206AAF"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138.16</w:t>
            </w:r>
          </w:p>
        </w:tc>
        <w:tc>
          <w:tcPr>
            <w:tcW w:w="720" w:type="dxa"/>
            <w:tcBorders>
              <w:top w:val="nil"/>
              <w:left w:val="nil"/>
              <w:bottom w:val="single" w:sz="4" w:space="0" w:color="auto"/>
              <w:right w:val="single" w:sz="4" w:space="0" w:color="auto"/>
            </w:tcBorders>
            <w:shd w:val="clear" w:color="auto" w:fill="auto"/>
            <w:vAlign w:val="center"/>
            <w:hideMark/>
          </w:tcPr>
          <w:p w14:paraId="72A9823B"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103.96</w:t>
            </w:r>
          </w:p>
        </w:tc>
      </w:tr>
      <w:tr w:rsidR="00ED5CC4" w:rsidRPr="00ED5CC4" w14:paraId="12F735CA" w14:textId="77777777" w:rsidTr="00ED5CC4">
        <w:trPr>
          <w:trHeight w:val="240"/>
          <w:jc w:val="center"/>
        </w:trPr>
        <w:tc>
          <w:tcPr>
            <w:tcW w:w="519" w:type="dxa"/>
            <w:vMerge/>
            <w:tcBorders>
              <w:top w:val="nil"/>
              <w:left w:val="single" w:sz="4" w:space="0" w:color="auto"/>
              <w:bottom w:val="single" w:sz="4" w:space="0" w:color="auto"/>
              <w:right w:val="single" w:sz="4" w:space="0" w:color="auto"/>
            </w:tcBorders>
            <w:vAlign w:val="center"/>
            <w:hideMark/>
          </w:tcPr>
          <w:p w14:paraId="55F63B3D" w14:textId="77777777" w:rsidR="00ED5CC4" w:rsidRPr="00ED5CC4" w:rsidRDefault="00ED5CC4" w:rsidP="00ED5CC4">
            <w:pPr>
              <w:overflowPunct/>
              <w:autoSpaceDE/>
              <w:autoSpaceDN/>
              <w:adjustRightInd/>
              <w:spacing w:after="0"/>
              <w:textAlignment w:val="auto"/>
              <w:rPr>
                <w:rFonts w:ascii="Calibri" w:hAnsi="Calibri" w:cs="Calibri"/>
                <w:color w:val="000000"/>
                <w:sz w:val="18"/>
                <w:szCs w:val="18"/>
                <w:lang w:val="en-US" w:eastAsia="en-US"/>
              </w:rPr>
            </w:pPr>
          </w:p>
        </w:tc>
        <w:tc>
          <w:tcPr>
            <w:tcW w:w="432" w:type="dxa"/>
            <w:tcBorders>
              <w:top w:val="nil"/>
              <w:left w:val="nil"/>
              <w:bottom w:val="single" w:sz="4" w:space="0" w:color="auto"/>
              <w:right w:val="single" w:sz="4" w:space="0" w:color="auto"/>
            </w:tcBorders>
            <w:shd w:val="clear" w:color="000000" w:fill="ED7D31"/>
            <w:noWrap/>
            <w:vAlign w:val="center"/>
            <w:hideMark/>
          </w:tcPr>
          <w:p w14:paraId="624B8294"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80</w:t>
            </w:r>
          </w:p>
        </w:tc>
        <w:tc>
          <w:tcPr>
            <w:tcW w:w="432" w:type="dxa"/>
            <w:tcBorders>
              <w:top w:val="nil"/>
              <w:left w:val="nil"/>
              <w:bottom w:val="single" w:sz="4" w:space="0" w:color="auto"/>
              <w:right w:val="single" w:sz="4" w:space="0" w:color="auto"/>
            </w:tcBorders>
            <w:shd w:val="clear" w:color="auto" w:fill="auto"/>
            <w:noWrap/>
            <w:vAlign w:val="center"/>
            <w:hideMark/>
          </w:tcPr>
          <w:p w14:paraId="05DD456E"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160</w:t>
            </w:r>
          </w:p>
        </w:tc>
        <w:tc>
          <w:tcPr>
            <w:tcW w:w="497" w:type="dxa"/>
            <w:tcBorders>
              <w:top w:val="nil"/>
              <w:left w:val="nil"/>
              <w:bottom w:val="single" w:sz="4" w:space="0" w:color="auto"/>
              <w:right w:val="single" w:sz="4" w:space="0" w:color="auto"/>
            </w:tcBorders>
            <w:shd w:val="clear" w:color="auto" w:fill="auto"/>
            <w:noWrap/>
            <w:vAlign w:val="center"/>
            <w:hideMark/>
          </w:tcPr>
          <w:p w14:paraId="14BD4263"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120</w:t>
            </w:r>
          </w:p>
        </w:tc>
        <w:tc>
          <w:tcPr>
            <w:tcW w:w="641" w:type="dxa"/>
            <w:tcBorders>
              <w:top w:val="nil"/>
              <w:left w:val="nil"/>
              <w:bottom w:val="single" w:sz="4" w:space="0" w:color="auto"/>
              <w:right w:val="single" w:sz="4" w:space="0" w:color="auto"/>
            </w:tcBorders>
            <w:shd w:val="clear" w:color="auto" w:fill="auto"/>
            <w:noWrap/>
            <w:vAlign w:val="center"/>
            <w:hideMark/>
          </w:tcPr>
          <w:p w14:paraId="3BA896FF"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925</w:t>
            </w:r>
          </w:p>
        </w:tc>
        <w:tc>
          <w:tcPr>
            <w:tcW w:w="639" w:type="dxa"/>
            <w:tcBorders>
              <w:top w:val="nil"/>
              <w:left w:val="nil"/>
              <w:bottom w:val="single" w:sz="4" w:space="0" w:color="auto"/>
              <w:right w:val="single" w:sz="4" w:space="0" w:color="auto"/>
            </w:tcBorders>
            <w:shd w:val="clear" w:color="auto" w:fill="auto"/>
            <w:noWrap/>
            <w:vAlign w:val="center"/>
            <w:hideMark/>
          </w:tcPr>
          <w:p w14:paraId="4DB595F8"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925</w:t>
            </w:r>
          </w:p>
        </w:tc>
        <w:tc>
          <w:tcPr>
            <w:tcW w:w="460" w:type="dxa"/>
            <w:tcBorders>
              <w:top w:val="nil"/>
              <w:left w:val="nil"/>
              <w:bottom w:val="single" w:sz="4" w:space="0" w:color="auto"/>
              <w:right w:val="single" w:sz="4" w:space="0" w:color="auto"/>
            </w:tcBorders>
            <w:shd w:val="clear" w:color="000000" w:fill="B4C6E7"/>
            <w:vAlign w:val="center"/>
            <w:hideMark/>
          </w:tcPr>
          <w:p w14:paraId="4A47230F"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217</w:t>
            </w:r>
          </w:p>
        </w:tc>
        <w:tc>
          <w:tcPr>
            <w:tcW w:w="640" w:type="dxa"/>
            <w:tcBorders>
              <w:top w:val="nil"/>
              <w:left w:val="nil"/>
              <w:bottom w:val="single" w:sz="4" w:space="0" w:color="auto"/>
              <w:right w:val="single" w:sz="4" w:space="0" w:color="auto"/>
            </w:tcBorders>
            <w:shd w:val="clear" w:color="000000" w:fill="DDEBF7"/>
            <w:vAlign w:val="center"/>
            <w:hideMark/>
          </w:tcPr>
          <w:p w14:paraId="2618D9BB"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109</w:t>
            </w:r>
          </w:p>
        </w:tc>
        <w:tc>
          <w:tcPr>
            <w:tcW w:w="420" w:type="dxa"/>
            <w:tcBorders>
              <w:top w:val="nil"/>
              <w:left w:val="nil"/>
              <w:bottom w:val="single" w:sz="4" w:space="0" w:color="auto"/>
              <w:right w:val="single" w:sz="4" w:space="0" w:color="auto"/>
            </w:tcBorders>
            <w:shd w:val="clear" w:color="auto" w:fill="auto"/>
            <w:vAlign w:val="center"/>
            <w:hideMark/>
          </w:tcPr>
          <w:p w14:paraId="2265A843"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435</w:t>
            </w:r>
          </w:p>
        </w:tc>
        <w:tc>
          <w:tcPr>
            <w:tcW w:w="460" w:type="dxa"/>
            <w:tcBorders>
              <w:top w:val="nil"/>
              <w:left w:val="nil"/>
              <w:bottom w:val="single" w:sz="4" w:space="0" w:color="auto"/>
              <w:right w:val="single" w:sz="4" w:space="0" w:color="auto"/>
            </w:tcBorders>
            <w:shd w:val="clear" w:color="auto" w:fill="auto"/>
            <w:vAlign w:val="center"/>
            <w:hideMark/>
          </w:tcPr>
          <w:p w14:paraId="30F4D733"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326</w:t>
            </w:r>
          </w:p>
        </w:tc>
        <w:tc>
          <w:tcPr>
            <w:tcW w:w="620" w:type="dxa"/>
            <w:tcBorders>
              <w:top w:val="nil"/>
              <w:left w:val="nil"/>
              <w:bottom w:val="single" w:sz="4" w:space="0" w:color="auto"/>
              <w:right w:val="single" w:sz="4" w:space="0" w:color="auto"/>
            </w:tcBorders>
            <w:shd w:val="clear" w:color="auto" w:fill="auto"/>
            <w:vAlign w:val="center"/>
            <w:hideMark/>
          </w:tcPr>
          <w:p w14:paraId="3BF09698"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845.0</w:t>
            </w:r>
          </w:p>
        </w:tc>
        <w:tc>
          <w:tcPr>
            <w:tcW w:w="620" w:type="dxa"/>
            <w:tcBorders>
              <w:top w:val="nil"/>
              <w:left w:val="nil"/>
              <w:bottom w:val="single" w:sz="4" w:space="0" w:color="auto"/>
              <w:right w:val="single" w:sz="4" w:space="0" w:color="auto"/>
            </w:tcBorders>
            <w:shd w:val="clear" w:color="auto" w:fill="auto"/>
            <w:vAlign w:val="center"/>
            <w:hideMark/>
          </w:tcPr>
          <w:p w14:paraId="17CE219C"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845.0</w:t>
            </w:r>
          </w:p>
        </w:tc>
        <w:tc>
          <w:tcPr>
            <w:tcW w:w="660" w:type="dxa"/>
            <w:tcBorders>
              <w:top w:val="nil"/>
              <w:left w:val="nil"/>
              <w:bottom w:val="single" w:sz="4" w:space="0" w:color="auto"/>
              <w:right w:val="single" w:sz="4" w:space="0" w:color="auto"/>
            </w:tcBorders>
            <w:shd w:val="clear" w:color="auto" w:fill="auto"/>
            <w:vAlign w:val="center"/>
            <w:hideMark/>
          </w:tcPr>
          <w:p w14:paraId="59EC0FB9"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158.32</w:t>
            </w:r>
          </w:p>
        </w:tc>
        <w:tc>
          <w:tcPr>
            <w:tcW w:w="720" w:type="dxa"/>
            <w:tcBorders>
              <w:top w:val="nil"/>
              <w:left w:val="nil"/>
              <w:bottom w:val="single" w:sz="4" w:space="0" w:color="auto"/>
              <w:right w:val="single" w:sz="4" w:space="0" w:color="auto"/>
            </w:tcBorders>
            <w:shd w:val="clear" w:color="auto" w:fill="auto"/>
            <w:vAlign w:val="center"/>
            <w:hideMark/>
          </w:tcPr>
          <w:p w14:paraId="502412EF"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119.08</w:t>
            </w:r>
          </w:p>
        </w:tc>
      </w:tr>
      <w:tr w:rsidR="00ED5CC4" w:rsidRPr="00ED5CC4" w14:paraId="43B8C2DD" w14:textId="77777777" w:rsidTr="00ED5CC4">
        <w:trPr>
          <w:trHeight w:val="240"/>
          <w:jc w:val="center"/>
        </w:trPr>
        <w:tc>
          <w:tcPr>
            <w:tcW w:w="519" w:type="dxa"/>
            <w:vMerge/>
            <w:tcBorders>
              <w:top w:val="nil"/>
              <w:left w:val="single" w:sz="4" w:space="0" w:color="auto"/>
              <w:bottom w:val="single" w:sz="4" w:space="0" w:color="auto"/>
              <w:right w:val="single" w:sz="4" w:space="0" w:color="auto"/>
            </w:tcBorders>
            <w:vAlign w:val="center"/>
            <w:hideMark/>
          </w:tcPr>
          <w:p w14:paraId="30D74D7E" w14:textId="77777777" w:rsidR="00ED5CC4" w:rsidRPr="00ED5CC4" w:rsidRDefault="00ED5CC4" w:rsidP="00ED5CC4">
            <w:pPr>
              <w:overflowPunct/>
              <w:autoSpaceDE/>
              <w:autoSpaceDN/>
              <w:adjustRightInd/>
              <w:spacing w:after="0"/>
              <w:textAlignment w:val="auto"/>
              <w:rPr>
                <w:rFonts w:ascii="Calibri" w:hAnsi="Calibri" w:cs="Calibri"/>
                <w:color w:val="000000"/>
                <w:sz w:val="18"/>
                <w:szCs w:val="18"/>
                <w:lang w:val="en-US" w:eastAsia="en-US"/>
              </w:rPr>
            </w:pPr>
          </w:p>
        </w:tc>
        <w:tc>
          <w:tcPr>
            <w:tcW w:w="432" w:type="dxa"/>
            <w:tcBorders>
              <w:top w:val="nil"/>
              <w:left w:val="nil"/>
              <w:bottom w:val="single" w:sz="4" w:space="0" w:color="auto"/>
              <w:right w:val="single" w:sz="4" w:space="0" w:color="auto"/>
            </w:tcBorders>
            <w:shd w:val="clear" w:color="000000" w:fill="C65911"/>
            <w:noWrap/>
            <w:vAlign w:val="center"/>
            <w:hideMark/>
          </w:tcPr>
          <w:p w14:paraId="4EC49CB6"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90</w:t>
            </w:r>
          </w:p>
        </w:tc>
        <w:tc>
          <w:tcPr>
            <w:tcW w:w="432" w:type="dxa"/>
            <w:tcBorders>
              <w:top w:val="nil"/>
              <w:left w:val="nil"/>
              <w:bottom w:val="single" w:sz="4" w:space="0" w:color="auto"/>
              <w:right w:val="single" w:sz="4" w:space="0" w:color="auto"/>
            </w:tcBorders>
            <w:shd w:val="clear" w:color="auto" w:fill="auto"/>
            <w:noWrap/>
            <w:vAlign w:val="center"/>
            <w:hideMark/>
          </w:tcPr>
          <w:p w14:paraId="67BCC5F6"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180</w:t>
            </w:r>
          </w:p>
        </w:tc>
        <w:tc>
          <w:tcPr>
            <w:tcW w:w="497" w:type="dxa"/>
            <w:tcBorders>
              <w:top w:val="nil"/>
              <w:left w:val="nil"/>
              <w:bottom w:val="single" w:sz="4" w:space="0" w:color="auto"/>
              <w:right w:val="single" w:sz="4" w:space="0" w:color="auto"/>
            </w:tcBorders>
            <w:shd w:val="clear" w:color="auto" w:fill="auto"/>
            <w:noWrap/>
            <w:vAlign w:val="center"/>
            <w:hideMark/>
          </w:tcPr>
          <w:p w14:paraId="50035205"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135</w:t>
            </w:r>
          </w:p>
        </w:tc>
        <w:tc>
          <w:tcPr>
            <w:tcW w:w="641" w:type="dxa"/>
            <w:tcBorders>
              <w:top w:val="nil"/>
              <w:left w:val="nil"/>
              <w:bottom w:val="single" w:sz="4" w:space="0" w:color="auto"/>
              <w:right w:val="single" w:sz="4" w:space="0" w:color="auto"/>
            </w:tcBorders>
            <w:shd w:val="clear" w:color="auto" w:fill="auto"/>
            <w:noWrap/>
            <w:vAlign w:val="center"/>
            <w:hideMark/>
          </w:tcPr>
          <w:p w14:paraId="2A6E79FC"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885</w:t>
            </w:r>
          </w:p>
        </w:tc>
        <w:tc>
          <w:tcPr>
            <w:tcW w:w="639" w:type="dxa"/>
            <w:tcBorders>
              <w:top w:val="nil"/>
              <w:left w:val="nil"/>
              <w:bottom w:val="single" w:sz="4" w:space="0" w:color="auto"/>
              <w:right w:val="single" w:sz="4" w:space="0" w:color="auto"/>
            </w:tcBorders>
            <w:shd w:val="clear" w:color="auto" w:fill="auto"/>
            <w:noWrap/>
            <w:vAlign w:val="center"/>
            <w:hideMark/>
          </w:tcPr>
          <w:p w14:paraId="6B4A8F29"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885</w:t>
            </w:r>
          </w:p>
        </w:tc>
        <w:tc>
          <w:tcPr>
            <w:tcW w:w="460" w:type="dxa"/>
            <w:tcBorders>
              <w:top w:val="nil"/>
              <w:left w:val="nil"/>
              <w:bottom w:val="single" w:sz="4" w:space="0" w:color="auto"/>
              <w:right w:val="single" w:sz="4" w:space="0" w:color="auto"/>
            </w:tcBorders>
            <w:shd w:val="clear" w:color="000000" w:fill="B4C6E7"/>
            <w:vAlign w:val="center"/>
            <w:hideMark/>
          </w:tcPr>
          <w:p w14:paraId="26631733"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245</w:t>
            </w:r>
          </w:p>
        </w:tc>
        <w:tc>
          <w:tcPr>
            <w:tcW w:w="640" w:type="dxa"/>
            <w:tcBorders>
              <w:top w:val="nil"/>
              <w:left w:val="nil"/>
              <w:bottom w:val="single" w:sz="4" w:space="0" w:color="auto"/>
              <w:right w:val="single" w:sz="4" w:space="0" w:color="auto"/>
            </w:tcBorders>
            <w:shd w:val="clear" w:color="000000" w:fill="DDEBF7"/>
            <w:vAlign w:val="center"/>
            <w:hideMark/>
          </w:tcPr>
          <w:p w14:paraId="427DCA62"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123</w:t>
            </w:r>
          </w:p>
        </w:tc>
        <w:tc>
          <w:tcPr>
            <w:tcW w:w="420" w:type="dxa"/>
            <w:tcBorders>
              <w:top w:val="nil"/>
              <w:left w:val="nil"/>
              <w:bottom w:val="single" w:sz="4" w:space="0" w:color="auto"/>
              <w:right w:val="single" w:sz="4" w:space="0" w:color="auto"/>
            </w:tcBorders>
            <w:shd w:val="clear" w:color="auto" w:fill="auto"/>
            <w:vAlign w:val="center"/>
            <w:hideMark/>
          </w:tcPr>
          <w:p w14:paraId="6EC9D6AF"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491</w:t>
            </w:r>
          </w:p>
        </w:tc>
        <w:tc>
          <w:tcPr>
            <w:tcW w:w="460" w:type="dxa"/>
            <w:tcBorders>
              <w:top w:val="nil"/>
              <w:left w:val="nil"/>
              <w:bottom w:val="single" w:sz="4" w:space="0" w:color="auto"/>
              <w:right w:val="single" w:sz="4" w:space="0" w:color="auto"/>
            </w:tcBorders>
            <w:shd w:val="clear" w:color="auto" w:fill="auto"/>
            <w:vAlign w:val="center"/>
            <w:hideMark/>
          </w:tcPr>
          <w:p w14:paraId="503DE38C"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368</w:t>
            </w:r>
          </w:p>
        </w:tc>
        <w:tc>
          <w:tcPr>
            <w:tcW w:w="620" w:type="dxa"/>
            <w:tcBorders>
              <w:top w:val="nil"/>
              <w:left w:val="nil"/>
              <w:bottom w:val="single" w:sz="4" w:space="0" w:color="auto"/>
              <w:right w:val="single" w:sz="4" w:space="0" w:color="auto"/>
            </w:tcBorders>
            <w:shd w:val="clear" w:color="auto" w:fill="auto"/>
            <w:vAlign w:val="center"/>
            <w:hideMark/>
          </w:tcPr>
          <w:p w14:paraId="714F41F4"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845.0</w:t>
            </w:r>
          </w:p>
        </w:tc>
        <w:tc>
          <w:tcPr>
            <w:tcW w:w="620" w:type="dxa"/>
            <w:tcBorders>
              <w:top w:val="nil"/>
              <w:left w:val="nil"/>
              <w:bottom w:val="single" w:sz="4" w:space="0" w:color="auto"/>
              <w:right w:val="single" w:sz="4" w:space="0" w:color="auto"/>
            </w:tcBorders>
            <w:shd w:val="clear" w:color="auto" w:fill="auto"/>
            <w:vAlign w:val="center"/>
            <w:hideMark/>
          </w:tcPr>
          <w:p w14:paraId="08A23484"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845.0</w:t>
            </w:r>
          </w:p>
        </w:tc>
        <w:tc>
          <w:tcPr>
            <w:tcW w:w="660" w:type="dxa"/>
            <w:tcBorders>
              <w:top w:val="nil"/>
              <w:left w:val="nil"/>
              <w:bottom w:val="single" w:sz="4" w:space="0" w:color="auto"/>
              <w:right w:val="single" w:sz="4" w:space="0" w:color="auto"/>
            </w:tcBorders>
            <w:shd w:val="clear" w:color="auto" w:fill="auto"/>
            <w:vAlign w:val="center"/>
            <w:hideMark/>
          </w:tcPr>
          <w:p w14:paraId="51C55DA1"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178.48</w:t>
            </w:r>
          </w:p>
        </w:tc>
        <w:tc>
          <w:tcPr>
            <w:tcW w:w="720" w:type="dxa"/>
            <w:tcBorders>
              <w:top w:val="nil"/>
              <w:left w:val="nil"/>
              <w:bottom w:val="single" w:sz="4" w:space="0" w:color="auto"/>
              <w:right w:val="single" w:sz="4" w:space="0" w:color="auto"/>
            </w:tcBorders>
            <w:shd w:val="clear" w:color="auto" w:fill="auto"/>
            <w:vAlign w:val="center"/>
            <w:hideMark/>
          </w:tcPr>
          <w:p w14:paraId="1BA5D3BD"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134.2</w:t>
            </w:r>
          </w:p>
        </w:tc>
      </w:tr>
      <w:tr w:rsidR="00ED5CC4" w:rsidRPr="00ED5CC4" w14:paraId="7D366BED" w14:textId="77777777" w:rsidTr="00ED5CC4">
        <w:trPr>
          <w:trHeight w:val="240"/>
          <w:jc w:val="center"/>
        </w:trPr>
        <w:tc>
          <w:tcPr>
            <w:tcW w:w="519" w:type="dxa"/>
            <w:vMerge/>
            <w:tcBorders>
              <w:top w:val="nil"/>
              <w:left w:val="single" w:sz="4" w:space="0" w:color="auto"/>
              <w:bottom w:val="single" w:sz="4" w:space="0" w:color="auto"/>
              <w:right w:val="single" w:sz="4" w:space="0" w:color="auto"/>
            </w:tcBorders>
            <w:vAlign w:val="center"/>
            <w:hideMark/>
          </w:tcPr>
          <w:p w14:paraId="221883E2" w14:textId="77777777" w:rsidR="00ED5CC4" w:rsidRPr="00ED5CC4" w:rsidRDefault="00ED5CC4" w:rsidP="00ED5CC4">
            <w:pPr>
              <w:overflowPunct/>
              <w:autoSpaceDE/>
              <w:autoSpaceDN/>
              <w:adjustRightInd/>
              <w:spacing w:after="0"/>
              <w:textAlignment w:val="auto"/>
              <w:rPr>
                <w:rFonts w:ascii="Calibri" w:hAnsi="Calibri" w:cs="Calibri"/>
                <w:color w:val="000000"/>
                <w:sz w:val="18"/>
                <w:szCs w:val="18"/>
                <w:lang w:val="en-US" w:eastAsia="en-US"/>
              </w:rPr>
            </w:pPr>
          </w:p>
        </w:tc>
        <w:tc>
          <w:tcPr>
            <w:tcW w:w="432" w:type="dxa"/>
            <w:tcBorders>
              <w:top w:val="nil"/>
              <w:left w:val="nil"/>
              <w:bottom w:val="single" w:sz="4" w:space="0" w:color="auto"/>
              <w:right w:val="single" w:sz="4" w:space="0" w:color="auto"/>
            </w:tcBorders>
            <w:shd w:val="clear" w:color="000000" w:fill="833C0C"/>
            <w:noWrap/>
            <w:vAlign w:val="center"/>
            <w:hideMark/>
          </w:tcPr>
          <w:p w14:paraId="218848A6" w14:textId="77777777" w:rsidR="00ED5CC4" w:rsidRPr="00ED5CC4" w:rsidRDefault="00ED5CC4" w:rsidP="00ED5CC4">
            <w:pPr>
              <w:overflowPunct/>
              <w:autoSpaceDE/>
              <w:autoSpaceDN/>
              <w:adjustRightInd/>
              <w:spacing w:after="0"/>
              <w:jc w:val="center"/>
              <w:textAlignment w:val="auto"/>
              <w:rPr>
                <w:rFonts w:ascii="Calibri" w:hAnsi="Calibri" w:cs="Calibri"/>
                <w:b/>
                <w:bCs/>
                <w:color w:val="000000"/>
                <w:sz w:val="18"/>
                <w:szCs w:val="18"/>
                <w:lang w:val="en-US" w:eastAsia="en-US"/>
              </w:rPr>
            </w:pPr>
            <w:r w:rsidRPr="00ED5CC4">
              <w:rPr>
                <w:rFonts w:ascii="Calibri" w:hAnsi="Calibri" w:cs="Calibri"/>
                <w:b/>
                <w:bCs/>
                <w:color w:val="000000"/>
                <w:sz w:val="18"/>
                <w:szCs w:val="18"/>
                <w:lang w:val="en-US" w:eastAsia="en-US"/>
              </w:rPr>
              <w:t>100</w:t>
            </w:r>
          </w:p>
        </w:tc>
        <w:tc>
          <w:tcPr>
            <w:tcW w:w="432" w:type="dxa"/>
            <w:tcBorders>
              <w:top w:val="nil"/>
              <w:left w:val="nil"/>
              <w:bottom w:val="single" w:sz="4" w:space="0" w:color="auto"/>
              <w:right w:val="single" w:sz="4" w:space="0" w:color="auto"/>
            </w:tcBorders>
            <w:shd w:val="clear" w:color="auto" w:fill="auto"/>
            <w:noWrap/>
            <w:vAlign w:val="center"/>
            <w:hideMark/>
          </w:tcPr>
          <w:p w14:paraId="0457D017"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200</w:t>
            </w:r>
          </w:p>
        </w:tc>
        <w:tc>
          <w:tcPr>
            <w:tcW w:w="497" w:type="dxa"/>
            <w:tcBorders>
              <w:top w:val="nil"/>
              <w:left w:val="nil"/>
              <w:bottom w:val="single" w:sz="4" w:space="0" w:color="auto"/>
              <w:right w:val="single" w:sz="4" w:space="0" w:color="auto"/>
            </w:tcBorders>
            <w:shd w:val="clear" w:color="auto" w:fill="auto"/>
            <w:noWrap/>
            <w:vAlign w:val="center"/>
            <w:hideMark/>
          </w:tcPr>
          <w:p w14:paraId="37D6B648" w14:textId="77777777" w:rsidR="00ED5CC4" w:rsidRPr="00ED5CC4" w:rsidRDefault="00ED5CC4" w:rsidP="00ED5CC4">
            <w:pPr>
              <w:overflowPunct/>
              <w:autoSpaceDE/>
              <w:autoSpaceDN/>
              <w:adjustRightInd/>
              <w:spacing w:after="0"/>
              <w:jc w:val="center"/>
              <w:textAlignment w:val="auto"/>
              <w:rPr>
                <w:rFonts w:ascii="Calibri" w:hAnsi="Calibri" w:cs="Calibri"/>
                <w:b/>
                <w:bCs/>
                <w:color w:val="000000"/>
                <w:sz w:val="18"/>
                <w:szCs w:val="18"/>
                <w:lang w:val="en-US" w:eastAsia="en-US"/>
              </w:rPr>
            </w:pPr>
            <w:r w:rsidRPr="00ED5CC4">
              <w:rPr>
                <w:rFonts w:ascii="Calibri" w:hAnsi="Calibri" w:cs="Calibri"/>
                <w:b/>
                <w:bCs/>
                <w:color w:val="000000"/>
                <w:sz w:val="18"/>
                <w:szCs w:val="18"/>
                <w:lang w:val="en-US" w:eastAsia="en-US"/>
              </w:rPr>
              <w:t>150</w:t>
            </w:r>
          </w:p>
        </w:tc>
        <w:tc>
          <w:tcPr>
            <w:tcW w:w="641" w:type="dxa"/>
            <w:tcBorders>
              <w:top w:val="nil"/>
              <w:left w:val="nil"/>
              <w:bottom w:val="single" w:sz="4" w:space="0" w:color="auto"/>
              <w:right w:val="single" w:sz="4" w:space="0" w:color="auto"/>
            </w:tcBorders>
            <w:shd w:val="clear" w:color="auto" w:fill="auto"/>
            <w:noWrap/>
            <w:vAlign w:val="center"/>
            <w:hideMark/>
          </w:tcPr>
          <w:p w14:paraId="431BBD46" w14:textId="77777777" w:rsidR="00ED5CC4" w:rsidRPr="00ED5CC4" w:rsidRDefault="00ED5CC4" w:rsidP="00ED5CC4">
            <w:pPr>
              <w:overflowPunct/>
              <w:autoSpaceDE/>
              <w:autoSpaceDN/>
              <w:adjustRightInd/>
              <w:spacing w:after="0"/>
              <w:jc w:val="center"/>
              <w:textAlignment w:val="auto"/>
              <w:rPr>
                <w:rFonts w:ascii="Calibri" w:hAnsi="Calibri" w:cs="Calibri"/>
                <w:b/>
                <w:bCs/>
                <w:color w:val="000000"/>
                <w:sz w:val="18"/>
                <w:szCs w:val="18"/>
                <w:lang w:val="en-US" w:eastAsia="en-US"/>
              </w:rPr>
            </w:pPr>
            <w:r w:rsidRPr="00ED5CC4">
              <w:rPr>
                <w:rFonts w:ascii="Calibri" w:hAnsi="Calibri" w:cs="Calibri"/>
                <w:b/>
                <w:bCs/>
                <w:color w:val="000000"/>
                <w:sz w:val="18"/>
                <w:szCs w:val="18"/>
                <w:lang w:val="en-US" w:eastAsia="en-US"/>
              </w:rPr>
              <w:t>845</w:t>
            </w:r>
          </w:p>
        </w:tc>
        <w:tc>
          <w:tcPr>
            <w:tcW w:w="639" w:type="dxa"/>
            <w:tcBorders>
              <w:top w:val="nil"/>
              <w:left w:val="nil"/>
              <w:bottom w:val="single" w:sz="4" w:space="0" w:color="auto"/>
              <w:right w:val="single" w:sz="4" w:space="0" w:color="auto"/>
            </w:tcBorders>
            <w:shd w:val="clear" w:color="auto" w:fill="auto"/>
            <w:noWrap/>
            <w:vAlign w:val="center"/>
            <w:hideMark/>
          </w:tcPr>
          <w:p w14:paraId="1A390D75"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845</w:t>
            </w:r>
          </w:p>
        </w:tc>
        <w:tc>
          <w:tcPr>
            <w:tcW w:w="460" w:type="dxa"/>
            <w:tcBorders>
              <w:top w:val="nil"/>
              <w:left w:val="nil"/>
              <w:bottom w:val="single" w:sz="4" w:space="0" w:color="auto"/>
              <w:right w:val="single" w:sz="4" w:space="0" w:color="auto"/>
            </w:tcBorders>
            <w:shd w:val="clear" w:color="000000" w:fill="B4C6E7"/>
            <w:vAlign w:val="center"/>
            <w:hideMark/>
          </w:tcPr>
          <w:p w14:paraId="19C611FB" w14:textId="77777777" w:rsidR="00ED5CC4" w:rsidRPr="00ED5CC4" w:rsidRDefault="00ED5CC4" w:rsidP="00ED5CC4">
            <w:pPr>
              <w:overflowPunct/>
              <w:autoSpaceDE/>
              <w:autoSpaceDN/>
              <w:adjustRightInd/>
              <w:spacing w:after="0"/>
              <w:jc w:val="center"/>
              <w:textAlignment w:val="auto"/>
              <w:rPr>
                <w:rFonts w:ascii="Calibri" w:hAnsi="Calibri" w:cs="Calibri"/>
                <w:b/>
                <w:bCs/>
                <w:color w:val="000000"/>
                <w:sz w:val="18"/>
                <w:szCs w:val="18"/>
                <w:lang w:val="en-US" w:eastAsia="en-US"/>
              </w:rPr>
            </w:pPr>
            <w:r w:rsidRPr="00ED5CC4">
              <w:rPr>
                <w:rFonts w:ascii="Calibri" w:hAnsi="Calibri" w:cs="Calibri"/>
                <w:b/>
                <w:bCs/>
                <w:color w:val="000000"/>
                <w:sz w:val="18"/>
                <w:szCs w:val="18"/>
                <w:lang w:val="en-US" w:eastAsia="en-US"/>
              </w:rPr>
              <w:t>273</w:t>
            </w:r>
          </w:p>
        </w:tc>
        <w:tc>
          <w:tcPr>
            <w:tcW w:w="640" w:type="dxa"/>
            <w:tcBorders>
              <w:top w:val="nil"/>
              <w:left w:val="nil"/>
              <w:bottom w:val="single" w:sz="4" w:space="0" w:color="auto"/>
              <w:right w:val="single" w:sz="4" w:space="0" w:color="auto"/>
            </w:tcBorders>
            <w:shd w:val="clear" w:color="000000" w:fill="DDEBF7"/>
            <w:vAlign w:val="center"/>
            <w:hideMark/>
          </w:tcPr>
          <w:p w14:paraId="5EAC80CE" w14:textId="77777777" w:rsidR="00ED5CC4" w:rsidRPr="00ED5CC4" w:rsidRDefault="00ED5CC4" w:rsidP="00ED5CC4">
            <w:pPr>
              <w:overflowPunct/>
              <w:autoSpaceDE/>
              <w:autoSpaceDN/>
              <w:adjustRightInd/>
              <w:spacing w:after="0"/>
              <w:jc w:val="center"/>
              <w:textAlignment w:val="auto"/>
              <w:rPr>
                <w:rFonts w:ascii="Calibri" w:hAnsi="Calibri" w:cs="Calibri"/>
                <w:b/>
                <w:bCs/>
                <w:color w:val="000000"/>
                <w:sz w:val="18"/>
                <w:szCs w:val="18"/>
                <w:lang w:val="en-US" w:eastAsia="en-US"/>
              </w:rPr>
            </w:pPr>
            <w:r w:rsidRPr="00ED5CC4">
              <w:rPr>
                <w:rFonts w:ascii="Calibri" w:hAnsi="Calibri" w:cs="Calibri"/>
                <w:b/>
                <w:bCs/>
                <w:color w:val="000000"/>
                <w:sz w:val="18"/>
                <w:szCs w:val="18"/>
                <w:lang w:val="en-US" w:eastAsia="en-US"/>
              </w:rPr>
              <w:t>137</w:t>
            </w:r>
          </w:p>
        </w:tc>
        <w:tc>
          <w:tcPr>
            <w:tcW w:w="420" w:type="dxa"/>
            <w:tcBorders>
              <w:top w:val="nil"/>
              <w:left w:val="nil"/>
              <w:bottom w:val="single" w:sz="4" w:space="0" w:color="auto"/>
              <w:right w:val="single" w:sz="4" w:space="0" w:color="auto"/>
            </w:tcBorders>
            <w:shd w:val="clear" w:color="auto" w:fill="auto"/>
            <w:vAlign w:val="center"/>
            <w:hideMark/>
          </w:tcPr>
          <w:p w14:paraId="1AD648A3" w14:textId="77777777" w:rsidR="00ED5CC4" w:rsidRPr="00ED5CC4" w:rsidRDefault="00ED5CC4" w:rsidP="00ED5CC4">
            <w:pPr>
              <w:overflowPunct/>
              <w:autoSpaceDE/>
              <w:autoSpaceDN/>
              <w:adjustRightInd/>
              <w:spacing w:after="0"/>
              <w:jc w:val="center"/>
              <w:textAlignment w:val="auto"/>
              <w:rPr>
                <w:rFonts w:ascii="Calibri" w:hAnsi="Calibri" w:cs="Calibri"/>
                <w:b/>
                <w:bCs/>
                <w:color w:val="000000"/>
                <w:sz w:val="18"/>
                <w:szCs w:val="18"/>
                <w:lang w:val="en-US" w:eastAsia="en-US"/>
              </w:rPr>
            </w:pPr>
            <w:r w:rsidRPr="00ED5CC4">
              <w:rPr>
                <w:rFonts w:ascii="Calibri" w:hAnsi="Calibri" w:cs="Calibri"/>
                <w:b/>
                <w:bCs/>
                <w:color w:val="000000"/>
                <w:sz w:val="18"/>
                <w:szCs w:val="18"/>
                <w:lang w:val="en-US" w:eastAsia="en-US"/>
              </w:rPr>
              <w:t>547</w:t>
            </w:r>
          </w:p>
        </w:tc>
        <w:tc>
          <w:tcPr>
            <w:tcW w:w="460" w:type="dxa"/>
            <w:tcBorders>
              <w:top w:val="nil"/>
              <w:left w:val="nil"/>
              <w:bottom w:val="single" w:sz="4" w:space="0" w:color="auto"/>
              <w:right w:val="single" w:sz="4" w:space="0" w:color="auto"/>
            </w:tcBorders>
            <w:shd w:val="clear" w:color="auto" w:fill="auto"/>
            <w:vAlign w:val="center"/>
            <w:hideMark/>
          </w:tcPr>
          <w:p w14:paraId="29AD5AFA" w14:textId="77777777" w:rsidR="00ED5CC4" w:rsidRPr="00ED5CC4" w:rsidRDefault="00ED5CC4" w:rsidP="00ED5CC4">
            <w:pPr>
              <w:overflowPunct/>
              <w:autoSpaceDE/>
              <w:autoSpaceDN/>
              <w:adjustRightInd/>
              <w:spacing w:after="0"/>
              <w:jc w:val="center"/>
              <w:textAlignment w:val="auto"/>
              <w:rPr>
                <w:rFonts w:ascii="Calibri" w:hAnsi="Calibri" w:cs="Calibri"/>
                <w:b/>
                <w:bCs/>
                <w:color w:val="000000"/>
                <w:sz w:val="18"/>
                <w:szCs w:val="18"/>
                <w:lang w:val="en-US" w:eastAsia="en-US"/>
              </w:rPr>
            </w:pPr>
            <w:r w:rsidRPr="00ED5CC4">
              <w:rPr>
                <w:rFonts w:ascii="Calibri" w:hAnsi="Calibri" w:cs="Calibri"/>
                <w:b/>
                <w:bCs/>
                <w:color w:val="000000"/>
                <w:sz w:val="18"/>
                <w:szCs w:val="18"/>
                <w:lang w:val="en-US" w:eastAsia="en-US"/>
              </w:rPr>
              <w:t>410</w:t>
            </w:r>
          </w:p>
        </w:tc>
        <w:tc>
          <w:tcPr>
            <w:tcW w:w="620" w:type="dxa"/>
            <w:tcBorders>
              <w:top w:val="nil"/>
              <w:left w:val="nil"/>
              <w:bottom w:val="single" w:sz="4" w:space="0" w:color="auto"/>
              <w:right w:val="single" w:sz="4" w:space="0" w:color="auto"/>
            </w:tcBorders>
            <w:shd w:val="clear" w:color="auto" w:fill="auto"/>
            <w:vAlign w:val="center"/>
            <w:hideMark/>
          </w:tcPr>
          <w:p w14:paraId="7A87E06A"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845.0</w:t>
            </w:r>
          </w:p>
        </w:tc>
        <w:tc>
          <w:tcPr>
            <w:tcW w:w="620" w:type="dxa"/>
            <w:tcBorders>
              <w:top w:val="nil"/>
              <w:left w:val="nil"/>
              <w:bottom w:val="single" w:sz="4" w:space="0" w:color="auto"/>
              <w:right w:val="single" w:sz="4" w:space="0" w:color="auto"/>
            </w:tcBorders>
            <w:shd w:val="clear" w:color="auto" w:fill="auto"/>
            <w:vAlign w:val="center"/>
            <w:hideMark/>
          </w:tcPr>
          <w:p w14:paraId="49B93A2B"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845.0</w:t>
            </w:r>
          </w:p>
        </w:tc>
        <w:tc>
          <w:tcPr>
            <w:tcW w:w="660" w:type="dxa"/>
            <w:tcBorders>
              <w:top w:val="nil"/>
              <w:left w:val="nil"/>
              <w:bottom w:val="single" w:sz="4" w:space="0" w:color="auto"/>
              <w:right w:val="single" w:sz="4" w:space="0" w:color="auto"/>
            </w:tcBorders>
            <w:shd w:val="clear" w:color="auto" w:fill="auto"/>
            <w:vAlign w:val="center"/>
            <w:hideMark/>
          </w:tcPr>
          <w:p w14:paraId="61F9609B"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198.64</w:t>
            </w:r>
          </w:p>
        </w:tc>
        <w:tc>
          <w:tcPr>
            <w:tcW w:w="720" w:type="dxa"/>
            <w:tcBorders>
              <w:top w:val="nil"/>
              <w:left w:val="nil"/>
              <w:bottom w:val="single" w:sz="4" w:space="0" w:color="auto"/>
              <w:right w:val="single" w:sz="4" w:space="0" w:color="auto"/>
            </w:tcBorders>
            <w:shd w:val="clear" w:color="auto" w:fill="auto"/>
            <w:vAlign w:val="center"/>
            <w:hideMark/>
          </w:tcPr>
          <w:p w14:paraId="36FC041C" w14:textId="77777777" w:rsidR="00ED5CC4" w:rsidRPr="00ED5CC4" w:rsidRDefault="00ED5CC4" w:rsidP="00ED5CC4">
            <w:pPr>
              <w:overflowPunct/>
              <w:autoSpaceDE/>
              <w:autoSpaceDN/>
              <w:adjustRightInd/>
              <w:spacing w:after="0"/>
              <w:jc w:val="center"/>
              <w:textAlignment w:val="auto"/>
              <w:rPr>
                <w:rFonts w:ascii="Calibri" w:hAnsi="Calibri" w:cs="Calibri"/>
                <w:color w:val="000000"/>
                <w:sz w:val="18"/>
                <w:szCs w:val="18"/>
                <w:lang w:val="en-US" w:eastAsia="en-US"/>
              </w:rPr>
            </w:pPr>
            <w:r w:rsidRPr="00ED5CC4">
              <w:rPr>
                <w:rFonts w:ascii="Calibri" w:hAnsi="Calibri" w:cs="Calibri"/>
                <w:color w:val="000000"/>
                <w:sz w:val="18"/>
                <w:szCs w:val="18"/>
                <w:lang w:val="en-US" w:eastAsia="en-US"/>
              </w:rPr>
              <w:t>149.32</w:t>
            </w:r>
          </w:p>
        </w:tc>
      </w:tr>
    </w:tbl>
    <w:p w14:paraId="387BC666" w14:textId="6AE1FA27" w:rsidR="00185039" w:rsidRDefault="00185039" w:rsidP="00633DED">
      <w:pPr>
        <w:spacing w:after="0"/>
        <w:rPr>
          <w:rFonts w:eastAsia="Arial"/>
          <w:lang w:eastAsia="zh-CN"/>
        </w:rPr>
      </w:pPr>
    </w:p>
    <w:p w14:paraId="7A468E1E" w14:textId="308C59F3" w:rsidR="00633DED" w:rsidRDefault="00633DED" w:rsidP="00633DED">
      <w:pPr>
        <w:spacing w:after="0"/>
        <w:rPr>
          <w:rFonts w:eastAsia="Arial"/>
          <w:b/>
          <w:bCs/>
          <w:lang w:eastAsia="zh-CN"/>
        </w:rPr>
      </w:pPr>
      <w:r w:rsidRPr="00633DED">
        <w:rPr>
          <w:rFonts w:eastAsia="Arial"/>
          <w:b/>
          <w:bCs/>
          <w:lang w:eastAsia="zh-CN"/>
        </w:rPr>
        <w:t>Observations:</w:t>
      </w:r>
    </w:p>
    <w:p w14:paraId="13638BEF" w14:textId="092F276C" w:rsidR="00633DED" w:rsidRDefault="00633DED" w:rsidP="00633DED">
      <w:pPr>
        <w:pStyle w:val="ListParagraph"/>
        <w:numPr>
          <w:ilvl w:val="0"/>
          <w:numId w:val="39"/>
        </w:numPr>
        <w:spacing w:after="0"/>
        <w:ind w:firstLineChars="0"/>
        <w:rPr>
          <w:rFonts w:eastAsia="Arial"/>
          <w:b/>
          <w:bCs/>
          <w:lang w:eastAsia="zh-CN"/>
        </w:rPr>
      </w:pPr>
      <w:r>
        <w:rPr>
          <w:rFonts w:eastAsia="Arial"/>
          <w:b/>
          <w:bCs/>
          <w:lang w:eastAsia="zh-CN"/>
        </w:rPr>
        <w:t>Except for new 3MHz and 7MHz 2xCBW (symmetrical extension) up to 100MHz exa</w:t>
      </w:r>
      <w:r w:rsidR="00884492">
        <w:rPr>
          <w:rFonts w:eastAsia="Arial"/>
          <w:b/>
          <w:bCs/>
          <w:lang w:eastAsia="zh-CN"/>
        </w:rPr>
        <w:t>c</w:t>
      </w:r>
      <w:r>
        <w:rPr>
          <w:rFonts w:eastAsia="Arial"/>
          <w:b/>
          <w:bCs/>
          <w:lang w:eastAsia="zh-CN"/>
        </w:rPr>
        <w:t>tly maps onto an existing CBW</w:t>
      </w:r>
      <w:r w:rsidR="00B41B00">
        <w:rPr>
          <w:rFonts w:eastAsia="Arial"/>
          <w:b/>
          <w:bCs/>
          <w:lang w:eastAsia="zh-CN"/>
        </w:rPr>
        <w:t>.</w:t>
      </w:r>
    </w:p>
    <w:p w14:paraId="22DD6709" w14:textId="77777777" w:rsidR="00B41B00" w:rsidRDefault="00B41B00" w:rsidP="00B41B00">
      <w:pPr>
        <w:pStyle w:val="ListParagraph"/>
        <w:numPr>
          <w:ilvl w:val="0"/>
          <w:numId w:val="39"/>
        </w:numPr>
        <w:spacing w:after="0"/>
        <w:ind w:firstLineChars="0"/>
        <w:rPr>
          <w:rFonts w:eastAsia="Arial"/>
          <w:b/>
          <w:bCs/>
          <w:lang w:eastAsia="zh-CN"/>
        </w:rPr>
      </w:pPr>
      <w:r>
        <w:rPr>
          <w:rFonts w:eastAsia="Arial"/>
          <w:b/>
          <w:bCs/>
          <w:lang w:eastAsia="zh-CN"/>
        </w:rPr>
        <w:t>Most of the</w:t>
      </w:r>
      <w:r w:rsidR="00633DED">
        <w:rPr>
          <w:rFonts w:eastAsia="Arial"/>
          <w:b/>
          <w:bCs/>
          <w:lang w:eastAsia="zh-CN"/>
        </w:rPr>
        <w:t xml:space="preserve"> 1.5xCBW (asymmetrical extension) </w:t>
      </w:r>
      <w:r>
        <w:rPr>
          <w:rFonts w:eastAsia="Arial"/>
          <w:b/>
          <w:bCs/>
          <w:lang w:eastAsia="zh-CN"/>
        </w:rPr>
        <w:t>do not</w:t>
      </w:r>
      <w:r w:rsidR="00633DED">
        <w:rPr>
          <w:rFonts w:eastAsia="Arial"/>
          <w:b/>
          <w:bCs/>
          <w:lang w:eastAsia="zh-CN"/>
        </w:rPr>
        <w:t xml:space="preserve"> map exactly to an existing CBW</w:t>
      </w:r>
      <w:r>
        <w:rPr>
          <w:rFonts w:eastAsia="Arial"/>
          <w:b/>
          <w:bCs/>
          <w:lang w:eastAsia="zh-CN"/>
        </w:rPr>
        <w:t xml:space="preserve"> (only 10 out of 23 do).</w:t>
      </w:r>
    </w:p>
    <w:p w14:paraId="621FD390" w14:textId="39F3E580" w:rsidR="00B41B00" w:rsidRDefault="00B41B00" w:rsidP="00B41B00">
      <w:pPr>
        <w:pStyle w:val="ListParagraph"/>
        <w:numPr>
          <w:ilvl w:val="0"/>
          <w:numId w:val="39"/>
        </w:numPr>
        <w:spacing w:after="0"/>
        <w:ind w:firstLineChars="0"/>
        <w:rPr>
          <w:rFonts w:eastAsia="Arial"/>
          <w:b/>
          <w:bCs/>
          <w:lang w:eastAsia="zh-CN"/>
        </w:rPr>
      </w:pPr>
      <w:r w:rsidRPr="00B41B00">
        <w:rPr>
          <w:rFonts w:eastAsia="Arial"/>
          <w:b/>
          <w:bCs/>
          <w:lang w:eastAsia="zh-CN"/>
        </w:rPr>
        <w:t>NRB extension always result</w:t>
      </w:r>
      <w:r w:rsidR="006E3CD7">
        <w:rPr>
          <w:rFonts w:eastAsia="Arial"/>
          <w:b/>
          <w:bCs/>
          <w:lang w:eastAsia="zh-CN"/>
        </w:rPr>
        <w:t>s</w:t>
      </w:r>
      <w:r w:rsidRPr="00B41B00">
        <w:rPr>
          <w:rFonts w:eastAsia="Arial"/>
          <w:b/>
          <w:bCs/>
          <w:lang w:eastAsia="zh-CN"/>
        </w:rPr>
        <w:t xml:space="preserve"> in at least one RB less the than the NRB of the closest higher existing CBW.</w:t>
      </w:r>
    </w:p>
    <w:p w14:paraId="5D396291" w14:textId="787A3F47" w:rsidR="00ED5CC4" w:rsidRDefault="00ED5CC4" w:rsidP="00B41B00">
      <w:pPr>
        <w:pStyle w:val="ListParagraph"/>
        <w:numPr>
          <w:ilvl w:val="0"/>
          <w:numId w:val="39"/>
        </w:numPr>
        <w:spacing w:after="0"/>
        <w:ind w:firstLineChars="0"/>
        <w:rPr>
          <w:rFonts w:eastAsia="Arial"/>
          <w:b/>
          <w:bCs/>
          <w:lang w:eastAsia="zh-CN"/>
        </w:rPr>
      </w:pPr>
      <w:r>
        <w:rPr>
          <w:rFonts w:eastAsia="Arial"/>
          <w:b/>
          <w:bCs/>
          <w:lang w:eastAsia="zh-CN"/>
        </w:rPr>
        <w:t>Except for the 3MHz CBW, the extended BW based on RB extension and its associated extended guard band is smaller than the extended BW based on CBW.</w:t>
      </w:r>
      <w:r w:rsidR="00884492">
        <w:rPr>
          <w:rFonts w:eastAsia="Arial"/>
          <w:b/>
          <w:bCs/>
          <w:lang w:eastAsia="zh-CN"/>
        </w:rPr>
        <w:t xml:space="preserve"> This means that the chosen guard band is already safe but if the extended channel edge was based on UE_CBW the margin would be even larger except for the 3MHz case.</w:t>
      </w:r>
    </w:p>
    <w:p w14:paraId="2D289A15" w14:textId="77777777" w:rsidR="00C96E0E" w:rsidRPr="00C96E0E" w:rsidRDefault="00C96E0E" w:rsidP="00C96E0E">
      <w:pPr>
        <w:spacing w:after="0"/>
        <w:rPr>
          <w:rFonts w:eastAsia="Arial"/>
          <w:b/>
          <w:bCs/>
          <w:lang w:eastAsia="zh-CN"/>
        </w:rPr>
      </w:pPr>
    </w:p>
    <w:p w14:paraId="6239FB1E" w14:textId="51D3D137" w:rsidR="00B41B00" w:rsidRDefault="00B41B00" w:rsidP="00B41B00">
      <w:pPr>
        <w:spacing w:after="0"/>
        <w:rPr>
          <w:rFonts w:eastAsia="Arial"/>
          <w:lang w:eastAsia="zh-CN"/>
        </w:rPr>
      </w:pPr>
      <w:r w:rsidRPr="00B41B00">
        <w:rPr>
          <w:rFonts w:eastAsia="Arial"/>
          <w:lang w:eastAsia="zh-CN"/>
        </w:rPr>
        <w:t>Given the above,</w:t>
      </w:r>
      <w:r>
        <w:rPr>
          <w:rFonts w:eastAsia="Arial"/>
          <w:lang w:eastAsia="zh-CN"/>
        </w:rPr>
        <w:t xml:space="preserve"> there is no real incentive to extend based on CBW/2 and extension based on NRB provid</w:t>
      </w:r>
      <w:r w:rsidR="006E3CD7">
        <w:rPr>
          <w:rFonts w:eastAsia="Arial"/>
          <w:lang w:eastAsia="zh-CN"/>
        </w:rPr>
        <w:t>ing</w:t>
      </w:r>
      <w:r>
        <w:rPr>
          <w:rFonts w:eastAsia="Arial"/>
          <w:lang w:eastAsia="zh-CN"/>
        </w:rPr>
        <w:t xml:space="preserve"> addition</w:t>
      </w:r>
      <w:r w:rsidR="00DB0D2C">
        <w:rPr>
          <w:rFonts w:eastAsia="Arial"/>
          <w:lang w:eastAsia="zh-CN"/>
        </w:rPr>
        <w:t>al</w:t>
      </w:r>
      <w:r>
        <w:rPr>
          <w:rFonts w:eastAsia="Arial"/>
          <w:lang w:eastAsia="zh-CN"/>
        </w:rPr>
        <w:t xml:space="preserve"> margin. </w:t>
      </w:r>
      <w:proofErr w:type="gramStart"/>
      <w:r>
        <w:rPr>
          <w:rFonts w:eastAsia="Arial"/>
          <w:lang w:eastAsia="zh-CN"/>
        </w:rPr>
        <w:t>That being said, it</w:t>
      </w:r>
      <w:proofErr w:type="gramEnd"/>
      <w:r>
        <w:rPr>
          <w:rFonts w:eastAsia="Arial"/>
          <w:lang w:eastAsia="zh-CN"/>
        </w:rPr>
        <w:t xml:space="preserve"> is essential that the UE and the BS have the same understanding about the OOBE regions</w:t>
      </w:r>
      <w:r w:rsidR="006E3CD7">
        <w:rPr>
          <w:rFonts w:eastAsia="Arial"/>
          <w:lang w:eastAsia="zh-CN"/>
        </w:rPr>
        <w:t>.</w:t>
      </w:r>
      <w:r>
        <w:rPr>
          <w:rFonts w:eastAsia="Arial"/>
          <w:lang w:eastAsia="zh-CN"/>
        </w:rPr>
        <w:t xml:space="preserve"> </w:t>
      </w:r>
      <w:r w:rsidR="006E3CD7">
        <w:rPr>
          <w:rFonts w:eastAsia="Arial"/>
          <w:lang w:eastAsia="zh-CN"/>
        </w:rPr>
        <w:t>T</w:t>
      </w:r>
      <w:r>
        <w:rPr>
          <w:rFonts w:eastAsia="Arial"/>
          <w:lang w:eastAsia="zh-CN"/>
        </w:rPr>
        <w:t>hus</w:t>
      </w:r>
      <w:r w:rsidR="006E3CD7">
        <w:rPr>
          <w:rFonts w:eastAsia="Arial"/>
          <w:lang w:eastAsia="zh-CN"/>
        </w:rPr>
        <w:t>,</w:t>
      </w:r>
      <w:r>
        <w:rPr>
          <w:rFonts w:eastAsia="Arial"/>
          <w:lang w:eastAsia="zh-CN"/>
        </w:rPr>
        <w:t xml:space="preserve"> with NRB extension, it is essential to agree which guard band applies.</w:t>
      </w:r>
    </w:p>
    <w:p w14:paraId="7233038F" w14:textId="2A1C8813" w:rsidR="00852921" w:rsidRDefault="00852921" w:rsidP="00B41B00">
      <w:pPr>
        <w:spacing w:after="0"/>
        <w:rPr>
          <w:rFonts w:eastAsia="Arial"/>
          <w:lang w:eastAsia="zh-CN"/>
        </w:rPr>
      </w:pPr>
    </w:p>
    <w:p w14:paraId="311FB64D" w14:textId="4026B408" w:rsidR="00ED5CC4" w:rsidRDefault="00852921" w:rsidP="00B41B00">
      <w:pPr>
        <w:spacing w:after="0"/>
        <w:rPr>
          <w:rFonts w:eastAsia="Arial"/>
          <w:lang w:eastAsia="zh-CN"/>
        </w:rPr>
      </w:pPr>
      <w:r>
        <w:rPr>
          <w:rFonts w:eastAsia="Arial"/>
          <w:lang w:eastAsia="zh-CN"/>
        </w:rPr>
        <w:t>To make sure that the guard band is sufficient and thus guarant</w:t>
      </w:r>
      <w:r w:rsidR="006E3CD7">
        <w:rPr>
          <w:rFonts w:eastAsia="Arial"/>
          <w:lang w:eastAsia="zh-CN"/>
        </w:rPr>
        <w:t>ee</w:t>
      </w:r>
      <w:r>
        <w:rPr>
          <w:rFonts w:eastAsia="Arial"/>
          <w:lang w:eastAsia="zh-CN"/>
        </w:rPr>
        <w:t xml:space="preserve"> that the emissions of any extended BW can be met by construction, it is important that it relates to the existing CBW that are measured in RAN5 and in certification</w:t>
      </w:r>
      <w:r w:rsidR="006E3CD7">
        <w:rPr>
          <w:rFonts w:eastAsia="Arial"/>
          <w:lang w:eastAsia="zh-CN"/>
        </w:rPr>
        <w:t>,</w:t>
      </w:r>
      <w:r>
        <w:rPr>
          <w:rFonts w:eastAsia="Arial"/>
          <w:lang w:eastAsia="zh-CN"/>
        </w:rPr>
        <w:t xml:space="preserve"> and note that the initial CBW is tested </w:t>
      </w:r>
      <w:r w:rsidR="006E3CD7">
        <w:rPr>
          <w:rFonts w:eastAsia="Arial"/>
          <w:lang w:eastAsia="zh-CN"/>
        </w:rPr>
        <w:t xml:space="preserve">regardless, </w:t>
      </w:r>
      <w:r>
        <w:rPr>
          <w:rFonts w:eastAsia="Arial"/>
          <w:lang w:eastAsia="zh-CN"/>
        </w:rPr>
        <w:t xml:space="preserve">and </w:t>
      </w:r>
      <w:r w:rsidR="006E3CD7">
        <w:rPr>
          <w:rFonts w:eastAsia="Arial"/>
          <w:lang w:eastAsia="zh-CN"/>
        </w:rPr>
        <w:t xml:space="preserve">no extra RB is transmitted </w:t>
      </w:r>
      <w:r>
        <w:rPr>
          <w:rFonts w:eastAsia="Arial"/>
          <w:lang w:eastAsia="zh-CN"/>
        </w:rPr>
        <w:t>even when the BW is extended.</w:t>
      </w:r>
      <w:r w:rsidR="006E3CD7">
        <w:rPr>
          <w:rFonts w:eastAsia="Arial"/>
          <w:lang w:eastAsia="zh-CN"/>
        </w:rPr>
        <w:t xml:space="preserve"> With proper construction of the guard </w:t>
      </w:r>
      <w:proofErr w:type="gramStart"/>
      <w:r w:rsidR="006E3CD7">
        <w:rPr>
          <w:rFonts w:eastAsia="Arial"/>
          <w:lang w:eastAsia="zh-CN"/>
        </w:rPr>
        <w:t>band</w:t>
      </w:r>
      <w:proofErr w:type="gramEnd"/>
      <w:r w:rsidR="006E3CD7">
        <w:rPr>
          <w:rFonts w:eastAsia="Arial"/>
          <w:lang w:eastAsia="zh-CN"/>
        </w:rPr>
        <w:t xml:space="preserve"> it should be feasible to guarantee any RB extension by measuring only the specified CBW as long as the extended BW is between two measured CBW. Then, the only additional case would be for the largest supported CBW.</w:t>
      </w:r>
    </w:p>
    <w:p w14:paraId="539F8108" w14:textId="77777777" w:rsidR="00ED5CC4" w:rsidRDefault="00ED5CC4" w:rsidP="00B41B00">
      <w:pPr>
        <w:spacing w:after="0"/>
        <w:rPr>
          <w:rFonts w:eastAsia="Arial"/>
          <w:lang w:eastAsia="zh-CN"/>
        </w:rPr>
      </w:pPr>
    </w:p>
    <w:p w14:paraId="3EBE26CA" w14:textId="28A16B56" w:rsidR="00852921" w:rsidRDefault="00852921" w:rsidP="00B41B00">
      <w:pPr>
        <w:spacing w:after="0"/>
        <w:rPr>
          <w:rFonts w:eastAsia="Arial"/>
          <w:lang w:eastAsia="zh-CN"/>
        </w:rPr>
      </w:pPr>
      <w:r>
        <w:rPr>
          <w:rFonts w:eastAsia="Arial"/>
          <w:lang w:eastAsia="zh-CN"/>
        </w:rPr>
        <w:t xml:space="preserve">Our proposal is that the extended RB BW inherit the guard-bands from the next corresponding existing higher CBW (CBW that uses the next higher NRB versus initial CBW </w:t>
      </w:r>
      <w:proofErr w:type="spellStart"/>
      <w:r>
        <w:rPr>
          <w:rFonts w:eastAsia="Arial"/>
          <w:lang w:eastAsia="zh-CN"/>
        </w:rPr>
        <w:t>NRB+NRBext</w:t>
      </w:r>
      <w:proofErr w:type="spellEnd"/>
      <w:r>
        <w:rPr>
          <w:rFonts w:eastAsia="Arial"/>
          <w:lang w:eastAsia="zh-CN"/>
        </w:rPr>
        <w:t xml:space="preserve">). </w:t>
      </w:r>
    </w:p>
    <w:p w14:paraId="4BABF402" w14:textId="5B0E3E36" w:rsidR="00852921" w:rsidRDefault="00852921" w:rsidP="00852921">
      <w:pPr>
        <w:pStyle w:val="ListParagraph"/>
        <w:numPr>
          <w:ilvl w:val="0"/>
          <w:numId w:val="40"/>
        </w:numPr>
        <w:spacing w:after="0"/>
        <w:ind w:firstLineChars="0"/>
        <w:rPr>
          <w:rFonts w:eastAsia="Arial"/>
          <w:lang w:eastAsia="zh-CN"/>
        </w:rPr>
      </w:pPr>
      <w:r w:rsidRPr="00852921">
        <w:rPr>
          <w:rFonts w:eastAsia="Arial"/>
          <w:lang w:eastAsia="zh-CN"/>
        </w:rPr>
        <w:t>For 15kHz SCS extended NRB&gt;27</w:t>
      </w:r>
      <w:r w:rsidR="005C23F0">
        <w:rPr>
          <w:rFonts w:eastAsia="Arial"/>
          <w:lang w:eastAsia="zh-CN"/>
        </w:rPr>
        <w:t>0</w:t>
      </w:r>
      <w:r w:rsidRPr="00852921">
        <w:rPr>
          <w:rFonts w:eastAsia="Arial"/>
          <w:lang w:eastAsia="zh-CN"/>
        </w:rPr>
        <w:t>, the guard-band uses the corresponding 30KHz CBW</w:t>
      </w:r>
      <w:r>
        <w:rPr>
          <w:rFonts w:eastAsia="Arial"/>
          <w:lang w:eastAsia="zh-CN"/>
        </w:rPr>
        <w:t>.</w:t>
      </w:r>
    </w:p>
    <w:p w14:paraId="1C43C2EC" w14:textId="5D61EA4A" w:rsidR="00852921" w:rsidRDefault="00852921" w:rsidP="00852921">
      <w:pPr>
        <w:pStyle w:val="ListParagraph"/>
        <w:numPr>
          <w:ilvl w:val="0"/>
          <w:numId w:val="40"/>
        </w:numPr>
        <w:spacing w:after="0"/>
        <w:ind w:firstLineChars="0"/>
        <w:rPr>
          <w:rFonts w:eastAsia="Arial"/>
          <w:lang w:eastAsia="zh-CN"/>
        </w:rPr>
      </w:pPr>
      <w:r>
        <w:rPr>
          <w:rFonts w:eastAsia="Arial"/>
          <w:lang w:eastAsia="zh-CN"/>
        </w:rPr>
        <w:t xml:space="preserve">For 30kHz SCS </w:t>
      </w:r>
      <w:r w:rsidRPr="00852921">
        <w:rPr>
          <w:rFonts w:eastAsia="Arial"/>
          <w:lang w:eastAsia="zh-CN"/>
        </w:rPr>
        <w:t xml:space="preserve">extended NRB&gt;273, </w:t>
      </w:r>
      <w:r>
        <w:rPr>
          <w:rFonts w:eastAsia="Arial"/>
          <w:lang w:eastAsia="zh-CN"/>
        </w:rPr>
        <w:t>the 100MHz guard band is used since this is what is applied in CA.</w:t>
      </w:r>
    </w:p>
    <w:p w14:paraId="1065F08D" w14:textId="64F256FC" w:rsidR="00ED5CC4" w:rsidRDefault="00ED5CC4" w:rsidP="00852921">
      <w:pPr>
        <w:pStyle w:val="ListParagraph"/>
        <w:numPr>
          <w:ilvl w:val="0"/>
          <w:numId w:val="40"/>
        </w:numPr>
        <w:spacing w:after="0"/>
        <w:ind w:firstLineChars="0"/>
        <w:rPr>
          <w:rFonts w:eastAsia="Arial"/>
          <w:lang w:eastAsia="zh-CN"/>
        </w:rPr>
      </w:pPr>
      <w:r>
        <w:rPr>
          <w:rFonts w:eastAsia="Arial"/>
          <w:lang w:eastAsia="zh-CN"/>
        </w:rPr>
        <w:t xml:space="preserve">The </w:t>
      </w:r>
      <w:proofErr w:type="spellStart"/>
      <w:r>
        <w:rPr>
          <w:rFonts w:eastAsia="Arial"/>
          <w:lang w:eastAsia="zh-CN"/>
        </w:rPr>
        <w:t>GBext</w:t>
      </w:r>
      <w:proofErr w:type="spellEnd"/>
      <w:r>
        <w:rPr>
          <w:rFonts w:eastAsia="Arial"/>
          <w:lang w:eastAsia="zh-CN"/>
        </w:rPr>
        <w:t xml:space="preserve"> and </w:t>
      </w:r>
      <w:proofErr w:type="spellStart"/>
      <w:r>
        <w:rPr>
          <w:rFonts w:eastAsia="Arial"/>
          <w:lang w:eastAsia="zh-CN"/>
        </w:rPr>
        <w:t>B</w:t>
      </w:r>
      <w:r w:rsidR="005C23F0">
        <w:rPr>
          <w:rFonts w:eastAsia="Arial"/>
          <w:lang w:eastAsia="zh-CN"/>
        </w:rPr>
        <w:t>w</w:t>
      </w:r>
      <w:r>
        <w:rPr>
          <w:rFonts w:eastAsia="Arial"/>
          <w:lang w:eastAsia="zh-CN"/>
        </w:rPr>
        <w:t>ext</w:t>
      </w:r>
      <w:proofErr w:type="spellEnd"/>
      <w:r>
        <w:rPr>
          <w:rFonts w:eastAsia="Arial"/>
          <w:lang w:eastAsia="zh-CN"/>
        </w:rPr>
        <w:t xml:space="preserve"> values in Table 1 are calculated based on this approach.</w:t>
      </w:r>
    </w:p>
    <w:p w14:paraId="6662D0EB" w14:textId="35A2CBA6" w:rsidR="00852921" w:rsidRDefault="00852921" w:rsidP="00852921">
      <w:pPr>
        <w:spacing w:after="0"/>
        <w:rPr>
          <w:rFonts w:eastAsia="Arial"/>
          <w:lang w:eastAsia="zh-CN"/>
        </w:rPr>
      </w:pPr>
    </w:p>
    <w:p w14:paraId="416B5E2B" w14:textId="41112F8B" w:rsidR="00852921" w:rsidRPr="00852921" w:rsidRDefault="00852921" w:rsidP="00852921">
      <w:pPr>
        <w:spacing w:after="0"/>
        <w:rPr>
          <w:rFonts w:eastAsia="Arial"/>
          <w:lang w:eastAsia="zh-CN"/>
        </w:rPr>
      </w:pPr>
      <w:r>
        <w:rPr>
          <w:rFonts w:eastAsia="Arial"/>
          <w:lang w:eastAsia="zh-CN"/>
        </w:rPr>
        <w:t xml:space="preserve">This approach is illustrated in Figure 2, for symmetrical and asymmetrical </w:t>
      </w:r>
      <w:proofErr w:type="gramStart"/>
      <w:r>
        <w:rPr>
          <w:rFonts w:eastAsia="Arial"/>
          <w:lang w:eastAsia="zh-CN"/>
        </w:rPr>
        <w:t>ceil(</w:t>
      </w:r>
      <w:proofErr w:type="gramEnd"/>
      <w:r>
        <w:rPr>
          <w:rFonts w:eastAsia="Arial"/>
          <w:lang w:eastAsia="zh-CN"/>
        </w:rPr>
        <w:t>NRB/2) extensions of 5MHz and 10MHz channel</w:t>
      </w:r>
      <w:r w:rsidR="003946EA">
        <w:rPr>
          <w:rFonts w:eastAsia="Arial"/>
          <w:lang w:eastAsia="zh-CN"/>
        </w:rPr>
        <w:t>s.</w:t>
      </w:r>
    </w:p>
    <w:p w14:paraId="5BB46016" w14:textId="77777777" w:rsidR="000C24DD" w:rsidRDefault="000C24DD" w:rsidP="003946EA">
      <w:pPr>
        <w:keepNext/>
        <w:spacing w:after="0"/>
        <w:rPr>
          <w:rFonts w:eastAsia="Arial"/>
          <w:lang w:eastAsia="zh-CN"/>
        </w:rPr>
      </w:pPr>
    </w:p>
    <w:p w14:paraId="7FDEC531" w14:textId="4EA64510" w:rsidR="003946EA" w:rsidRDefault="000C24DD" w:rsidP="003946EA">
      <w:pPr>
        <w:keepNext/>
        <w:spacing w:after="0"/>
      </w:pPr>
      <w:r w:rsidRPr="000C24DD">
        <w:rPr>
          <w:rFonts w:eastAsia="Arial"/>
          <w:noProof/>
          <w:lang w:eastAsia="zh-CN"/>
        </w:rPr>
        <w:drawing>
          <wp:inline distT="0" distB="0" distL="0" distR="0" wp14:anchorId="5216EF4D" wp14:editId="5A2ECA6B">
            <wp:extent cx="6646545" cy="242316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646545" cy="2423160"/>
                    </a:xfrm>
                    <a:prstGeom prst="rect">
                      <a:avLst/>
                    </a:prstGeom>
                  </pic:spPr>
                </pic:pic>
              </a:graphicData>
            </a:graphic>
          </wp:inline>
        </w:drawing>
      </w:r>
    </w:p>
    <w:p w14:paraId="239D15F3" w14:textId="518D4334" w:rsidR="00852921" w:rsidRDefault="003946EA" w:rsidP="003946EA">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guard-band mapping for 5MHz and 10MHz CBW symmetrical and asymmetrical </w:t>
      </w:r>
      <w:proofErr w:type="gramStart"/>
      <w:r>
        <w:t>ceil(</w:t>
      </w:r>
      <w:proofErr w:type="gramEnd"/>
      <w:r>
        <w:t>NRB/2) extensions.</w:t>
      </w:r>
    </w:p>
    <w:p w14:paraId="21957CAA" w14:textId="0B436099" w:rsidR="003946EA" w:rsidRDefault="003946EA" w:rsidP="003946EA">
      <w:pPr>
        <w:spacing w:after="0"/>
        <w:rPr>
          <w:rFonts w:eastAsia="Arial"/>
          <w:lang w:val="en-US"/>
        </w:rPr>
      </w:pPr>
      <w:r>
        <w:rPr>
          <w:rFonts w:eastAsia="Arial"/>
          <w:lang w:val="en-US"/>
        </w:rPr>
        <w:t>Explanation:</w:t>
      </w:r>
    </w:p>
    <w:p w14:paraId="32DD77FE" w14:textId="7EF3FA4D" w:rsidR="003946EA" w:rsidRDefault="003946EA" w:rsidP="003946EA">
      <w:pPr>
        <w:pStyle w:val="ListParagraph"/>
        <w:numPr>
          <w:ilvl w:val="0"/>
          <w:numId w:val="41"/>
        </w:numPr>
        <w:spacing w:after="0"/>
        <w:ind w:firstLineChars="0"/>
        <w:rPr>
          <w:rFonts w:eastAsia="Arial"/>
          <w:lang w:val="en-US"/>
        </w:rPr>
      </w:pPr>
      <w:r>
        <w:rPr>
          <w:rFonts w:eastAsia="Arial"/>
          <w:lang w:val="en-US"/>
        </w:rPr>
        <w:t>The initial 5MHz channel NRB=25, a minimum guard</w:t>
      </w:r>
      <w:r w:rsidR="006E3CD7">
        <w:rPr>
          <w:rFonts w:eastAsia="Arial"/>
          <w:lang w:val="en-US"/>
        </w:rPr>
        <w:t xml:space="preserve"> </w:t>
      </w:r>
      <w:r>
        <w:rPr>
          <w:rFonts w:eastAsia="Arial"/>
          <w:lang w:val="en-US"/>
        </w:rPr>
        <w:t>band</w:t>
      </w:r>
      <w:r w:rsidR="006E3CD7">
        <w:rPr>
          <w:rFonts w:eastAsia="Arial"/>
          <w:lang w:val="en-US"/>
        </w:rPr>
        <w:t xml:space="preserve"> </w:t>
      </w:r>
      <w:r>
        <w:rPr>
          <w:rFonts w:eastAsia="Arial"/>
          <w:lang w:val="en-US"/>
        </w:rPr>
        <w:t xml:space="preserve">(GB)=242.5kHz and a </w:t>
      </w:r>
      <w:proofErr w:type="gramStart"/>
      <w:r>
        <w:rPr>
          <w:rFonts w:eastAsia="Arial"/>
          <w:lang w:val="en-US"/>
        </w:rPr>
        <w:t>ceil(</w:t>
      </w:r>
      <w:proofErr w:type="gramEnd"/>
      <w:r>
        <w:rPr>
          <w:rFonts w:eastAsia="Arial"/>
          <w:lang w:val="en-US"/>
        </w:rPr>
        <w:t>NRB/2)=13</w:t>
      </w:r>
    </w:p>
    <w:p w14:paraId="66CA1990" w14:textId="70D6544E" w:rsidR="003946EA" w:rsidRDefault="003946EA" w:rsidP="00EE074B">
      <w:pPr>
        <w:pStyle w:val="ListParagraph"/>
        <w:numPr>
          <w:ilvl w:val="1"/>
          <w:numId w:val="41"/>
        </w:numPr>
        <w:spacing w:after="0"/>
        <w:ind w:firstLineChars="0"/>
        <w:rPr>
          <w:rFonts w:eastAsia="Arial"/>
          <w:lang w:val="en-US"/>
        </w:rPr>
      </w:pPr>
      <w:r>
        <w:rPr>
          <w:rFonts w:eastAsia="Arial"/>
          <w:lang w:val="en-US"/>
        </w:rPr>
        <w:t>When extended symmetrically, NRB=51 which correspond</w:t>
      </w:r>
      <w:r w:rsidR="006E3CD7">
        <w:rPr>
          <w:rFonts w:eastAsia="Arial"/>
          <w:lang w:val="en-US"/>
        </w:rPr>
        <w:t>s</w:t>
      </w:r>
      <w:r>
        <w:rPr>
          <w:rFonts w:eastAsia="Arial"/>
          <w:lang w:val="en-US"/>
        </w:rPr>
        <w:t xml:space="preserve"> to a closest higher CBW=10MHz with NRB=52 and </w:t>
      </w:r>
      <w:r w:rsidR="000C24DD">
        <w:rPr>
          <w:rFonts w:eastAsia="Arial"/>
          <w:lang w:val="en-US"/>
        </w:rPr>
        <w:t>GB=312.5kHz.</w:t>
      </w:r>
    </w:p>
    <w:p w14:paraId="7C2B3D74" w14:textId="5A785E1F" w:rsidR="000C24DD" w:rsidRPr="003946EA" w:rsidRDefault="000C24DD" w:rsidP="00EE074B">
      <w:pPr>
        <w:pStyle w:val="ListParagraph"/>
        <w:numPr>
          <w:ilvl w:val="2"/>
          <w:numId w:val="41"/>
        </w:numPr>
        <w:spacing w:after="0"/>
        <w:ind w:firstLineChars="0"/>
        <w:rPr>
          <w:rFonts w:eastAsia="Arial"/>
          <w:lang w:val="en-US"/>
        </w:rPr>
      </w:pPr>
      <w:r>
        <w:rPr>
          <w:rFonts w:eastAsia="Arial"/>
          <w:lang w:val="en-US"/>
        </w:rPr>
        <w:t>When this guard band is applied to the 51 RBs</w:t>
      </w:r>
      <w:r w:rsidR="00EE074B">
        <w:rPr>
          <w:rFonts w:eastAsia="Arial"/>
          <w:lang w:val="en-US"/>
        </w:rPr>
        <w:t>,</w:t>
      </w:r>
      <w:r>
        <w:rPr>
          <w:rFonts w:eastAsia="Arial"/>
          <w:lang w:val="en-US"/>
        </w:rPr>
        <w:t xml:space="preserve"> the extended bandwidth (</w:t>
      </w:r>
      <w:proofErr w:type="spellStart"/>
      <w:r>
        <w:rPr>
          <w:rFonts w:eastAsia="Arial"/>
          <w:lang w:val="en-US"/>
        </w:rPr>
        <w:t>B</w:t>
      </w:r>
      <w:r w:rsidR="005C23F0">
        <w:rPr>
          <w:rFonts w:eastAsia="Arial"/>
          <w:lang w:val="en-US"/>
        </w:rPr>
        <w:t>w</w:t>
      </w:r>
      <w:r>
        <w:rPr>
          <w:rFonts w:eastAsia="Arial"/>
          <w:lang w:val="en-US"/>
        </w:rPr>
        <w:t>ext</w:t>
      </w:r>
      <w:proofErr w:type="spellEnd"/>
      <w:r>
        <w:rPr>
          <w:rFonts w:eastAsia="Arial"/>
          <w:lang w:val="en-US"/>
        </w:rPr>
        <w:t xml:space="preserve">)=9.82MHz and can be used for </w:t>
      </w:r>
      <w:proofErr w:type="gramStart"/>
      <w:r>
        <w:rPr>
          <w:rFonts w:eastAsia="Arial"/>
          <w:lang w:val="en-US"/>
        </w:rPr>
        <w:t>start</w:t>
      </w:r>
      <w:proofErr w:type="gramEnd"/>
      <w:r>
        <w:rPr>
          <w:rFonts w:eastAsia="Arial"/>
          <w:lang w:val="en-US"/>
        </w:rPr>
        <w:t xml:space="preserve"> of the OOBE regions based on the initial 5MHz CBW.</w:t>
      </w:r>
    </w:p>
    <w:p w14:paraId="0D584995" w14:textId="696D29BF" w:rsidR="000C24DD" w:rsidRDefault="000C24DD" w:rsidP="00EE074B">
      <w:pPr>
        <w:pStyle w:val="ListParagraph"/>
        <w:numPr>
          <w:ilvl w:val="1"/>
          <w:numId w:val="41"/>
        </w:numPr>
        <w:spacing w:after="0"/>
        <w:ind w:firstLineChars="0"/>
        <w:rPr>
          <w:rFonts w:eastAsia="Arial"/>
          <w:lang w:val="en-US"/>
        </w:rPr>
      </w:pPr>
      <w:r>
        <w:rPr>
          <w:rFonts w:eastAsia="Arial"/>
          <w:lang w:val="en-US"/>
        </w:rPr>
        <w:t xml:space="preserve">When extended </w:t>
      </w:r>
      <w:r w:rsidR="00EE074B">
        <w:rPr>
          <w:rFonts w:eastAsia="Arial"/>
          <w:lang w:val="en-US"/>
        </w:rPr>
        <w:t>a</w:t>
      </w:r>
      <w:r>
        <w:rPr>
          <w:rFonts w:eastAsia="Arial"/>
          <w:lang w:val="en-US"/>
        </w:rPr>
        <w:t xml:space="preserve">symmetrically, NRB=38 which </w:t>
      </w:r>
      <w:r w:rsidR="00EE074B">
        <w:rPr>
          <w:rFonts w:eastAsia="Arial"/>
          <w:lang w:val="en-US"/>
        </w:rPr>
        <w:t xml:space="preserve">also </w:t>
      </w:r>
      <w:r>
        <w:rPr>
          <w:rFonts w:eastAsia="Arial"/>
          <w:lang w:val="en-US"/>
        </w:rPr>
        <w:t>correspond</w:t>
      </w:r>
      <w:r w:rsidR="006E3CD7">
        <w:rPr>
          <w:rFonts w:eastAsia="Arial"/>
          <w:lang w:val="en-US"/>
        </w:rPr>
        <w:t>s</w:t>
      </w:r>
      <w:r>
        <w:rPr>
          <w:rFonts w:eastAsia="Arial"/>
          <w:lang w:val="en-US"/>
        </w:rPr>
        <w:t xml:space="preserve"> to a closest higher CBW=10MHz with NRB=52 and GB=312.5kHz</w:t>
      </w:r>
      <w:r w:rsidR="00EE074B">
        <w:rPr>
          <w:rFonts w:eastAsia="Arial"/>
          <w:lang w:val="en-US"/>
        </w:rPr>
        <w:t xml:space="preserve"> as the</w:t>
      </w:r>
      <w:r>
        <w:rPr>
          <w:rFonts w:eastAsia="Arial"/>
          <w:lang w:val="en-US"/>
        </w:rPr>
        <w:t xml:space="preserve"> 7MHz NRB=35 does not work.</w:t>
      </w:r>
    </w:p>
    <w:p w14:paraId="0F0B875D" w14:textId="116FC525" w:rsidR="000C24DD" w:rsidRPr="003946EA" w:rsidRDefault="000C24DD" w:rsidP="00EE074B">
      <w:pPr>
        <w:pStyle w:val="ListParagraph"/>
        <w:numPr>
          <w:ilvl w:val="2"/>
          <w:numId w:val="41"/>
        </w:numPr>
        <w:spacing w:after="0"/>
        <w:ind w:firstLineChars="0"/>
        <w:rPr>
          <w:rFonts w:eastAsia="Arial"/>
          <w:lang w:val="en-US"/>
        </w:rPr>
      </w:pPr>
      <w:r>
        <w:rPr>
          <w:rFonts w:eastAsia="Arial"/>
          <w:lang w:val="en-US"/>
        </w:rPr>
        <w:t xml:space="preserve">When this guard band is applied to the </w:t>
      </w:r>
      <w:r w:rsidR="00EE074B">
        <w:rPr>
          <w:rFonts w:eastAsia="Arial"/>
          <w:lang w:val="en-US"/>
        </w:rPr>
        <w:t>38</w:t>
      </w:r>
      <w:r>
        <w:rPr>
          <w:rFonts w:eastAsia="Arial"/>
          <w:lang w:val="en-US"/>
        </w:rPr>
        <w:t xml:space="preserve"> RBs</w:t>
      </w:r>
      <w:r w:rsidR="00EE074B">
        <w:rPr>
          <w:rFonts w:eastAsia="Arial"/>
          <w:lang w:val="en-US"/>
        </w:rPr>
        <w:t>,</w:t>
      </w:r>
      <w:r>
        <w:rPr>
          <w:rFonts w:eastAsia="Arial"/>
          <w:lang w:val="en-US"/>
        </w:rPr>
        <w:t xml:space="preserve"> </w:t>
      </w:r>
      <w:proofErr w:type="spellStart"/>
      <w:r>
        <w:rPr>
          <w:rFonts w:eastAsia="Arial"/>
          <w:lang w:val="en-US"/>
        </w:rPr>
        <w:t>B</w:t>
      </w:r>
      <w:r w:rsidR="005C23F0">
        <w:rPr>
          <w:rFonts w:eastAsia="Arial"/>
          <w:lang w:val="en-US"/>
        </w:rPr>
        <w:t>w</w:t>
      </w:r>
      <w:r>
        <w:rPr>
          <w:rFonts w:eastAsia="Arial"/>
          <w:lang w:val="en-US"/>
        </w:rPr>
        <w:t>ext</w:t>
      </w:r>
      <w:proofErr w:type="spellEnd"/>
      <w:r>
        <w:rPr>
          <w:rFonts w:eastAsia="Arial"/>
          <w:lang w:val="en-US"/>
        </w:rPr>
        <w:t>=</w:t>
      </w:r>
      <w:r w:rsidR="00EE074B">
        <w:rPr>
          <w:rFonts w:eastAsia="Arial"/>
          <w:lang w:val="en-US"/>
        </w:rPr>
        <w:t>7.48</w:t>
      </w:r>
      <w:r>
        <w:rPr>
          <w:rFonts w:eastAsia="Arial"/>
          <w:lang w:val="en-US"/>
        </w:rPr>
        <w:t xml:space="preserve">MHz and can be used for </w:t>
      </w:r>
      <w:proofErr w:type="gramStart"/>
      <w:r>
        <w:rPr>
          <w:rFonts w:eastAsia="Arial"/>
          <w:lang w:val="en-US"/>
        </w:rPr>
        <w:t>start</w:t>
      </w:r>
      <w:proofErr w:type="gramEnd"/>
      <w:r>
        <w:rPr>
          <w:rFonts w:eastAsia="Arial"/>
          <w:lang w:val="en-US"/>
        </w:rPr>
        <w:t xml:space="preserve"> of the OOBE regions based on the initial 5MHz CBW.</w:t>
      </w:r>
    </w:p>
    <w:p w14:paraId="298F72CA" w14:textId="2B20D20B" w:rsidR="00EE074B" w:rsidRDefault="00EE074B" w:rsidP="00EE074B">
      <w:pPr>
        <w:pStyle w:val="ListParagraph"/>
        <w:numPr>
          <w:ilvl w:val="0"/>
          <w:numId w:val="41"/>
        </w:numPr>
        <w:spacing w:after="0"/>
        <w:ind w:firstLineChars="0"/>
        <w:rPr>
          <w:rFonts w:eastAsia="Arial"/>
          <w:lang w:val="en-US"/>
        </w:rPr>
      </w:pPr>
      <w:r>
        <w:rPr>
          <w:rFonts w:eastAsia="Arial"/>
          <w:lang w:val="en-US"/>
        </w:rPr>
        <w:t>The initial 10MHz channel NRB=52 with GB=</w:t>
      </w:r>
      <w:r w:rsidRPr="00EE074B">
        <w:rPr>
          <w:rFonts w:eastAsia="Arial"/>
          <w:lang w:val="en-US"/>
        </w:rPr>
        <w:t xml:space="preserve"> </w:t>
      </w:r>
      <w:r>
        <w:rPr>
          <w:rFonts w:eastAsia="Arial"/>
          <w:lang w:val="en-US"/>
        </w:rPr>
        <w:t xml:space="preserve">312.5kHz and a </w:t>
      </w:r>
      <w:proofErr w:type="gramStart"/>
      <w:r>
        <w:rPr>
          <w:rFonts w:eastAsia="Arial"/>
          <w:lang w:val="en-US"/>
        </w:rPr>
        <w:t>ceil(</w:t>
      </w:r>
      <w:proofErr w:type="gramEnd"/>
      <w:r>
        <w:rPr>
          <w:rFonts w:eastAsia="Arial"/>
          <w:lang w:val="en-US"/>
        </w:rPr>
        <w:t>NRB/2)=26</w:t>
      </w:r>
    </w:p>
    <w:p w14:paraId="7F336E78" w14:textId="1BE77681" w:rsidR="00EE074B" w:rsidRDefault="00EE074B" w:rsidP="00EE074B">
      <w:pPr>
        <w:pStyle w:val="ListParagraph"/>
        <w:numPr>
          <w:ilvl w:val="1"/>
          <w:numId w:val="41"/>
        </w:numPr>
        <w:spacing w:after="0"/>
        <w:ind w:firstLineChars="0"/>
        <w:rPr>
          <w:rFonts w:eastAsia="Arial"/>
          <w:lang w:val="en-US"/>
        </w:rPr>
      </w:pPr>
      <w:r>
        <w:rPr>
          <w:rFonts w:eastAsia="Arial"/>
          <w:lang w:val="en-US"/>
        </w:rPr>
        <w:t>When extended symmetrically, NRB=104 which correspond</w:t>
      </w:r>
      <w:r w:rsidR="006E3CD7">
        <w:rPr>
          <w:rFonts w:eastAsia="Arial"/>
          <w:lang w:val="en-US"/>
        </w:rPr>
        <w:t>s</w:t>
      </w:r>
      <w:r>
        <w:rPr>
          <w:rFonts w:eastAsia="Arial"/>
          <w:lang w:val="en-US"/>
        </w:rPr>
        <w:t xml:space="preserve"> to a closest higher CBW=20MHz with NRB=106 and GB=452.5kHz.</w:t>
      </w:r>
    </w:p>
    <w:p w14:paraId="7321EF8C" w14:textId="5930F9C5" w:rsidR="00EE074B" w:rsidRPr="003946EA" w:rsidRDefault="00EE074B" w:rsidP="00EE074B">
      <w:pPr>
        <w:pStyle w:val="ListParagraph"/>
        <w:numPr>
          <w:ilvl w:val="2"/>
          <w:numId w:val="41"/>
        </w:numPr>
        <w:spacing w:after="0"/>
        <w:ind w:firstLineChars="0"/>
        <w:rPr>
          <w:rFonts w:eastAsia="Arial"/>
          <w:lang w:val="en-US"/>
        </w:rPr>
      </w:pPr>
      <w:r>
        <w:rPr>
          <w:rFonts w:eastAsia="Arial"/>
          <w:lang w:val="en-US"/>
        </w:rPr>
        <w:t xml:space="preserve">When this guard band is applied to the 104 RBs, </w:t>
      </w:r>
      <w:proofErr w:type="spellStart"/>
      <w:r>
        <w:rPr>
          <w:rFonts w:eastAsia="Arial"/>
          <w:lang w:val="en-US"/>
        </w:rPr>
        <w:t>B</w:t>
      </w:r>
      <w:r w:rsidR="005C23F0">
        <w:rPr>
          <w:rFonts w:eastAsia="Arial"/>
          <w:lang w:val="en-US"/>
        </w:rPr>
        <w:t>w</w:t>
      </w:r>
      <w:r>
        <w:rPr>
          <w:rFonts w:eastAsia="Arial"/>
          <w:lang w:val="en-US"/>
        </w:rPr>
        <w:t>ext</w:t>
      </w:r>
      <w:proofErr w:type="spellEnd"/>
      <w:r>
        <w:rPr>
          <w:rFonts w:eastAsia="Arial"/>
          <w:lang w:val="en-US"/>
        </w:rPr>
        <w:t>=</w:t>
      </w:r>
      <w:r w:rsidR="00FD409D">
        <w:rPr>
          <w:rFonts w:eastAsia="Arial"/>
          <w:lang w:val="en-US"/>
        </w:rPr>
        <w:t>1</w:t>
      </w:r>
      <w:r>
        <w:rPr>
          <w:rFonts w:eastAsia="Arial"/>
          <w:lang w:val="en-US"/>
        </w:rPr>
        <w:t>9.</w:t>
      </w:r>
      <w:r w:rsidR="00FD409D">
        <w:rPr>
          <w:rFonts w:eastAsia="Arial"/>
          <w:lang w:val="en-US"/>
        </w:rPr>
        <w:t>64</w:t>
      </w:r>
      <w:r>
        <w:rPr>
          <w:rFonts w:eastAsia="Arial"/>
          <w:lang w:val="en-US"/>
        </w:rPr>
        <w:t xml:space="preserve">MHz and can be used for </w:t>
      </w:r>
      <w:proofErr w:type="gramStart"/>
      <w:r>
        <w:rPr>
          <w:rFonts w:eastAsia="Arial"/>
          <w:lang w:val="en-US"/>
        </w:rPr>
        <w:t>start</w:t>
      </w:r>
      <w:proofErr w:type="gramEnd"/>
      <w:r>
        <w:rPr>
          <w:rFonts w:eastAsia="Arial"/>
          <w:lang w:val="en-US"/>
        </w:rPr>
        <w:t xml:space="preserve"> of the OOBE regions based on the initial </w:t>
      </w:r>
      <w:r w:rsidR="00FD409D">
        <w:rPr>
          <w:rFonts w:eastAsia="Arial"/>
          <w:lang w:val="en-US"/>
        </w:rPr>
        <w:t>10</w:t>
      </w:r>
      <w:r>
        <w:rPr>
          <w:rFonts w:eastAsia="Arial"/>
          <w:lang w:val="en-US"/>
        </w:rPr>
        <w:t>MHz CBW.</w:t>
      </w:r>
    </w:p>
    <w:p w14:paraId="4FA7006C" w14:textId="19B9FED8" w:rsidR="00FD409D" w:rsidRDefault="00FD409D" w:rsidP="00FD409D">
      <w:pPr>
        <w:pStyle w:val="ListParagraph"/>
        <w:numPr>
          <w:ilvl w:val="1"/>
          <w:numId w:val="41"/>
        </w:numPr>
        <w:spacing w:after="0"/>
        <w:ind w:firstLineChars="0"/>
        <w:rPr>
          <w:rFonts w:eastAsia="Arial"/>
          <w:lang w:val="en-US"/>
        </w:rPr>
      </w:pPr>
      <w:r>
        <w:rPr>
          <w:rFonts w:eastAsia="Arial"/>
          <w:lang w:val="en-US"/>
        </w:rPr>
        <w:t>When extended symmetrically, NRB=78 which correspond</w:t>
      </w:r>
      <w:r w:rsidR="006E3CD7">
        <w:rPr>
          <w:rFonts w:eastAsia="Arial"/>
          <w:lang w:val="en-US"/>
        </w:rPr>
        <w:t>s</w:t>
      </w:r>
      <w:r>
        <w:rPr>
          <w:rFonts w:eastAsia="Arial"/>
          <w:lang w:val="en-US"/>
        </w:rPr>
        <w:t xml:space="preserve"> to a closest higher CBW=15MHz with NRB=79 and GB=382.5kHz.</w:t>
      </w:r>
    </w:p>
    <w:p w14:paraId="54C81117" w14:textId="3CE2E8EC" w:rsidR="00FD409D" w:rsidRPr="003946EA" w:rsidRDefault="00FD409D" w:rsidP="00FD409D">
      <w:pPr>
        <w:pStyle w:val="ListParagraph"/>
        <w:numPr>
          <w:ilvl w:val="2"/>
          <w:numId w:val="41"/>
        </w:numPr>
        <w:spacing w:after="0"/>
        <w:ind w:firstLineChars="0"/>
        <w:rPr>
          <w:rFonts w:eastAsia="Arial"/>
          <w:lang w:val="en-US"/>
        </w:rPr>
      </w:pPr>
      <w:r>
        <w:rPr>
          <w:rFonts w:eastAsia="Arial"/>
          <w:lang w:val="en-US"/>
        </w:rPr>
        <w:lastRenderedPageBreak/>
        <w:t xml:space="preserve">When this guard band is applied to the 78 RBs, </w:t>
      </w:r>
      <w:proofErr w:type="spellStart"/>
      <w:r>
        <w:rPr>
          <w:rFonts w:eastAsia="Arial"/>
          <w:lang w:val="en-US"/>
        </w:rPr>
        <w:t>B</w:t>
      </w:r>
      <w:r w:rsidR="005C23F0">
        <w:rPr>
          <w:rFonts w:eastAsia="Arial"/>
          <w:lang w:val="en-US"/>
        </w:rPr>
        <w:t>w</w:t>
      </w:r>
      <w:r>
        <w:rPr>
          <w:rFonts w:eastAsia="Arial"/>
          <w:lang w:val="en-US"/>
        </w:rPr>
        <w:t>ext</w:t>
      </w:r>
      <w:proofErr w:type="spellEnd"/>
      <w:r>
        <w:rPr>
          <w:rFonts w:eastAsia="Arial"/>
          <w:lang w:val="en-US"/>
        </w:rPr>
        <w:t xml:space="preserve">=14.82MHz and can be used for </w:t>
      </w:r>
      <w:proofErr w:type="gramStart"/>
      <w:r>
        <w:rPr>
          <w:rFonts w:eastAsia="Arial"/>
          <w:lang w:val="en-US"/>
        </w:rPr>
        <w:t>start</w:t>
      </w:r>
      <w:proofErr w:type="gramEnd"/>
      <w:r>
        <w:rPr>
          <w:rFonts w:eastAsia="Arial"/>
          <w:lang w:val="en-US"/>
        </w:rPr>
        <w:t xml:space="preserve"> of the OOBE regions based on the initial 10MHz CBW.</w:t>
      </w:r>
    </w:p>
    <w:p w14:paraId="20B1DD3F" w14:textId="628189E9" w:rsidR="00B41B00" w:rsidRPr="00EE074B" w:rsidRDefault="00B41B00" w:rsidP="003946EA">
      <w:pPr>
        <w:spacing w:after="0"/>
        <w:rPr>
          <w:rFonts w:eastAsia="Arial"/>
          <w:lang w:val="en-US" w:eastAsia="zh-CN"/>
        </w:rPr>
      </w:pPr>
    </w:p>
    <w:p w14:paraId="1E948930" w14:textId="0F725EFE" w:rsidR="00B41B00" w:rsidRPr="00B41B00" w:rsidRDefault="00FD409D" w:rsidP="00B41B00">
      <w:pPr>
        <w:spacing w:after="0"/>
        <w:rPr>
          <w:rFonts w:eastAsia="Arial"/>
          <w:lang w:eastAsia="zh-CN"/>
        </w:rPr>
      </w:pPr>
      <w:r>
        <w:rPr>
          <w:rFonts w:eastAsia="Arial"/>
          <w:lang w:eastAsia="zh-CN"/>
        </w:rPr>
        <w:t>Based on this approach, any number of RB extension</w:t>
      </w:r>
      <w:r w:rsidR="006E3CD7">
        <w:rPr>
          <w:rFonts w:eastAsia="Arial"/>
          <w:lang w:eastAsia="zh-CN"/>
        </w:rPr>
        <w:t>s</w:t>
      </w:r>
      <w:r>
        <w:rPr>
          <w:rFonts w:eastAsia="Arial"/>
          <w:lang w:eastAsia="zh-CN"/>
        </w:rPr>
        <w:t xml:space="preserve"> can be associated with a guard band that is already verified with the existing channel BW applicable in the band of interest.</w:t>
      </w:r>
    </w:p>
    <w:p w14:paraId="6C1026D7" w14:textId="1F6E0674" w:rsidR="00185039" w:rsidRDefault="00185039" w:rsidP="00FD409D">
      <w:pPr>
        <w:spacing w:after="0"/>
        <w:rPr>
          <w:rFonts w:eastAsia="Arial"/>
          <w:lang w:eastAsia="zh-CN"/>
        </w:rPr>
      </w:pPr>
    </w:p>
    <w:p w14:paraId="5AFA49C2" w14:textId="7675A53D" w:rsidR="00FD409D" w:rsidRPr="00FD409D" w:rsidRDefault="00FD409D" w:rsidP="00FD409D">
      <w:pPr>
        <w:spacing w:after="0"/>
        <w:rPr>
          <w:rFonts w:eastAsia="Arial"/>
          <w:b/>
          <w:bCs/>
          <w:lang w:eastAsia="zh-CN"/>
        </w:rPr>
      </w:pPr>
      <w:r w:rsidRPr="00FD409D">
        <w:rPr>
          <w:rFonts w:eastAsia="Arial"/>
          <w:b/>
          <w:bCs/>
          <w:lang w:eastAsia="zh-CN"/>
        </w:rPr>
        <w:t>Proposal on NRB based extension and associated guard band:</w:t>
      </w:r>
    </w:p>
    <w:p w14:paraId="1A5117D6" w14:textId="561A03A0" w:rsidR="00FD409D" w:rsidRPr="005C23F0" w:rsidRDefault="00FD409D" w:rsidP="00FD409D">
      <w:pPr>
        <w:pStyle w:val="ListParagraph"/>
        <w:numPr>
          <w:ilvl w:val="0"/>
          <w:numId w:val="42"/>
        </w:numPr>
        <w:spacing w:after="0"/>
        <w:ind w:firstLineChars="0"/>
        <w:rPr>
          <w:rFonts w:eastAsia="Arial"/>
          <w:b/>
          <w:bCs/>
          <w:lang w:eastAsia="zh-CN"/>
        </w:rPr>
      </w:pPr>
      <w:r w:rsidRPr="005C23F0">
        <w:rPr>
          <w:rFonts w:eastAsia="Arial"/>
          <w:b/>
          <w:bCs/>
          <w:lang w:eastAsia="zh-CN"/>
        </w:rPr>
        <w:t xml:space="preserve">The maximum bandwidth extension is based on adding </w:t>
      </w:r>
      <w:proofErr w:type="gramStart"/>
      <w:r w:rsidRPr="005C23F0">
        <w:rPr>
          <w:rFonts w:eastAsia="Arial"/>
          <w:b/>
          <w:bCs/>
          <w:lang w:eastAsia="zh-CN"/>
        </w:rPr>
        <w:t>ceil(</w:t>
      </w:r>
      <w:proofErr w:type="gramEnd"/>
      <w:r w:rsidRPr="005C23F0">
        <w:rPr>
          <w:rFonts w:eastAsia="Arial"/>
          <w:b/>
          <w:bCs/>
          <w:lang w:eastAsia="zh-CN"/>
        </w:rPr>
        <w:t>NRB/2) symmetrically or asymmetrically to the initial NRB</w:t>
      </w:r>
    </w:p>
    <w:p w14:paraId="4C16C77B" w14:textId="49DC0B52" w:rsidR="00FD409D" w:rsidRPr="005C23F0" w:rsidRDefault="00FD409D" w:rsidP="00FD409D">
      <w:pPr>
        <w:pStyle w:val="ListParagraph"/>
        <w:numPr>
          <w:ilvl w:val="1"/>
          <w:numId w:val="42"/>
        </w:numPr>
        <w:spacing w:after="0"/>
        <w:ind w:firstLineChars="0"/>
        <w:rPr>
          <w:rFonts w:eastAsia="Arial"/>
          <w:b/>
          <w:bCs/>
          <w:lang w:eastAsia="zh-CN"/>
        </w:rPr>
      </w:pPr>
      <w:r w:rsidRPr="005C23F0">
        <w:rPr>
          <w:rFonts w:eastAsia="Arial"/>
          <w:b/>
          <w:bCs/>
          <w:lang w:eastAsia="zh-CN"/>
        </w:rPr>
        <w:t xml:space="preserve">A symmetrically extended BW extended NRB </w:t>
      </w:r>
      <w:r w:rsidRPr="0073023C">
        <w:rPr>
          <w:rFonts w:eastAsia="Arial"/>
          <w:b/>
          <w:bCs/>
          <w:i/>
          <w:iCs/>
          <w:lang w:eastAsia="zh-CN"/>
        </w:rPr>
        <w:t>(</w:t>
      </w:r>
      <w:proofErr w:type="spellStart"/>
      <w:r w:rsidRPr="0073023C">
        <w:rPr>
          <w:rFonts w:eastAsia="Arial"/>
          <w:b/>
          <w:bCs/>
          <w:i/>
          <w:iCs/>
          <w:lang w:eastAsia="zh-CN"/>
        </w:rPr>
        <w:t>NRBext</w:t>
      </w:r>
      <w:proofErr w:type="spellEnd"/>
      <w:r w:rsidRPr="0073023C">
        <w:rPr>
          <w:rFonts w:eastAsia="Arial"/>
          <w:b/>
          <w:bCs/>
          <w:i/>
          <w:iCs/>
          <w:lang w:eastAsia="zh-CN"/>
        </w:rPr>
        <w:t>) = NRB+2*</w:t>
      </w:r>
      <w:proofErr w:type="gramStart"/>
      <w:r w:rsidRPr="0073023C">
        <w:rPr>
          <w:rFonts w:eastAsia="Arial"/>
          <w:b/>
          <w:bCs/>
          <w:i/>
          <w:iCs/>
          <w:lang w:eastAsia="zh-CN"/>
        </w:rPr>
        <w:t>ceil(</w:t>
      </w:r>
      <w:proofErr w:type="gramEnd"/>
      <w:r w:rsidRPr="0073023C">
        <w:rPr>
          <w:rFonts w:eastAsia="Arial"/>
          <w:b/>
          <w:bCs/>
          <w:i/>
          <w:iCs/>
          <w:lang w:eastAsia="zh-CN"/>
        </w:rPr>
        <w:t>NRB/2)</w:t>
      </w:r>
    </w:p>
    <w:p w14:paraId="29A81E12" w14:textId="36F2259B" w:rsidR="00ED5CC4" w:rsidRPr="005C23F0" w:rsidRDefault="00FD409D" w:rsidP="00ED5CC4">
      <w:pPr>
        <w:pStyle w:val="ListParagraph"/>
        <w:numPr>
          <w:ilvl w:val="1"/>
          <w:numId w:val="42"/>
        </w:numPr>
        <w:spacing w:after="0"/>
        <w:ind w:firstLineChars="0"/>
        <w:rPr>
          <w:rFonts w:eastAsia="Arial"/>
          <w:b/>
          <w:bCs/>
          <w:lang w:eastAsia="zh-CN"/>
        </w:rPr>
      </w:pPr>
      <w:r w:rsidRPr="005C23F0">
        <w:rPr>
          <w:rFonts w:eastAsia="Arial"/>
          <w:b/>
          <w:bCs/>
          <w:lang w:eastAsia="zh-CN"/>
        </w:rPr>
        <w:t xml:space="preserve">An </w:t>
      </w:r>
      <w:r w:rsidR="006E3CD7">
        <w:rPr>
          <w:rFonts w:eastAsia="Arial"/>
          <w:b/>
          <w:bCs/>
          <w:lang w:eastAsia="zh-CN"/>
        </w:rPr>
        <w:t>a</w:t>
      </w:r>
      <w:r w:rsidRPr="005C23F0">
        <w:rPr>
          <w:rFonts w:eastAsia="Arial"/>
          <w:b/>
          <w:bCs/>
          <w:lang w:eastAsia="zh-CN"/>
        </w:rPr>
        <w:t xml:space="preserve">symmetrically extended BW extended NRB </w:t>
      </w:r>
      <w:r w:rsidRPr="0073023C">
        <w:rPr>
          <w:rFonts w:eastAsia="Arial"/>
          <w:b/>
          <w:bCs/>
          <w:i/>
          <w:iCs/>
          <w:lang w:eastAsia="zh-CN"/>
        </w:rPr>
        <w:t>(</w:t>
      </w:r>
      <w:proofErr w:type="spellStart"/>
      <w:r w:rsidRPr="0073023C">
        <w:rPr>
          <w:rFonts w:eastAsia="Arial"/>
          <w:b/>
          <w:bCs/>
          <w:i/>
          <w:iCs/>
          <w:lang w:eastAsia="zh-CN"/>
        </w:rPr>
        <w:t>NRBext</w:t>
      </w:r>
      <w:proofErr w:type="spellEnd"/>
      <w:r w:rsidRPr="0073023C">
        <w:rPr>
          <w:rFonts w:eastAsia="Arial"/>
          <w:b/>
          <w:bCs/>
          <w:i/>
          <w:iCs/>
          <w:lang w:eastAsia="zh-CN"/>
        </w:rPr>
        <w:t>) = NRB+2*</w:t>
      </w:r>
      <w:proofErr w:type="gramStart"/>
      <w:r w:rsidRPr="0073023C">
        <w:rPr>
          <w:rFonts w:eastAsia="Arial"/>
          <w:b/>
          <w:bCs/>
          <w:i/>
          <w:iCs/>
          <w:lang w:eastAsia="zh-CN"/>
        </w:rPr>
        <w:t>ceil(</w:t>
      </w:r>
      <w:proofErr w:type="gramEnd"/>
      <w:r w:rsidRPr="0073023C">
        <w:rPr>
          <w:rFonts w:eastAsia="Arial"/>
          <w:b/>
          <w:bCs/>
          <w:i/>
          <w:iCs/>
          <w:lang w:eastAsia="zh-CN"/>
        </w:rPr>
        <w:t>NRB/2)</w:t>
      </w:r>
    </w:p>
    <w:p w14:paraId="018F0F9A" w14:textId="02997664" w:rsidR="005C23F0" w:rsidRPr="005C23F0" w:rsidRDefault="00ED5CC4" w:rsidP="00ED5CC4">
      <w:pPr>
        <w:pStyle w:val="ListParagraph"/>
        <w:numPr>
          <w:ilvl w:val="0"/>
          <w:numId w:val="42"/>
        </w:numPr>
        <w:spacing w:after="0"/>
        <w:ind w:firstLineChars="0"/>
        <w:rPr>
          <w:rFonts w:eastAsia="Arial"/>
          <w:b/>
          <w:bCs/>
          <w:lang w:eastAsia="zh-CN"/>
        </w:rPr>
      </w:pPr>
      <w:r w:rsidRPr="005C23F0">
        <w:rPr>
          <w:rFonts w:eastAsia="Arial"/>
          <w:b/>
          <w:bCs/>
          <w:lang w:eastAsia="zh-CN"/>
        </w:rPr>
        <w:t xml:space="preserve">The extended RB BW </w:t>
      </w:r>
      <w:proofErr w:type="spellStart"/>
      <w:r w:rsidRPr="0073023C">
        <w:rPr>
          <w:rFonts w:eastAsia="Arial"/>
          <w:b/>
          <w:bCs/>
          <w:i/>
          <w:iCs/>
          <w:lang w:eastAsia="zh-CN"/>
        </w:rPr>
        <w:t>N</w:t>
      </w:r>
      <w:r w:rsidR="005C23F0" w:rsidRPr="0073023C">
        <w:rPr>
          <w:rFonts w:eastAsia="Arial"/>
          <w:b/>
          <w:bCs/>
          <w:i/>
          <w:iCs/>
          <w:lang w:eastAsia="zh-CN"/>
        </w:rPr>
        <w:t>RBex</w:t>
      </w:r>
      <w:r w:rsidR="005C23F0" w:rsidRPr="005C23F0">
        <w:rPr>
          <w:rFonts w:eastAsia="Arial"/>
          <w:b/>
          <w:bCs/>
          <w:lang w:eastAsia="zh-CN"/>
        </w:rPr>
        <w:t>t</w:t>
      </w:r>
      <w:proofErr w:type="spellEnd"/>
      <w:r w:rsidR="005C23F0" w:rsidRPr="005C23F0">
        <w:rPr>
          <w:rFonts w:eastAsia="Arial"/>
          <w:b/>
          <w:bCs/>
          <w:lang w:eastAsia="zh-CN"/>
        </w:rPr>
        <w:t xml:space="preserve"> </w:t>
      </w:r>
      <w:r w:rsidRPr="005C23F0">
        <w:rPr>
          <w:rFonts w:eastAsia="Arial"/>
          <w:b/>
          <w:bCs/>
          <w:lang w:eastAsia="zh-CN"/>
        </w:rPr>
        <w:t>inherit</w:t>
      </w:r>
      <w:r w:rsidR="006E3CD7">
        <w:rPr>
          <w:rFonts w:eastAsia="Arial"/>
          <w:b/>
          <w:bCs/>
          <w:lang w:eastAsia="zh-CN"/>
        </w:rPr>
        <w:t>s</w:t>
      </w:r>
      <w:r w:rsidRPr="005C23F0">
        <w:rPr>
          <w:rFonts w:eastAsia="Arial"/>
          <w:b/>
          <w:bCs/>
          <w:lang w:eastAsia="zh-CN"/>
        </w:rPr>
        <w:t xml:space="preserve"> the guard-bands (</w:t>
      </w:r>
      <w:proofErr w:type="spellStart"/>
      <w:r w:rsidRPr="0073023C">
        <w:rPr>
          <w:rFonts w:eastAsia="Arial"/>
          <w:b/>
          <w:bCs/>
          <w:i/>
          <w:iCs/>
          <w:lang w:eastAsia="zh-CN"/>
        </w:rPr>
        <w:t>G</w:t>
      </w:r>
      <w:r w:rsidR="0073023C" w:rsidRPr="0073023C">
        <w:rPr>
          <w:rFonts w:eastAsia="Arial"/>
          <w:b/>
          <w:bCs/>
          <w:i/>
          <w:iCs/>
          <w:lang w:eastAsia="zh-CN"/>
        </w:rPr>
        <w:t>B</w:t>
      </w:r>
      <w:r w:rsidRPr="0073023C">
        <w:rPr>
          <w:rFonts w:eastAsia="Arial"/>
          <w:b/>
          <w:bCs/>
          <w:i/>
          <w:iCs/>
          <w:lang w:eastAsia="zh-CN"/>
        </w:rPr>
        <w:t>ext</w:t>
      </w:r>
      <w:proofErr w:type="spellEnd"/>
      <w:r w:rsidRPr="005C23F0">
        <w:rPr>
          <w:rFonts w:eastAsia="Arial"/>
          <w:b/>
          <w:bCs/>
          <w:lang w:eastAsia="zh-CN"/>
        </w:rPr>
        <w:t xml:space="preserve">) from the next corresponding existing higher CBW that uses the next higher NRB versus </w:t>
      </w:r>
      <w:proofErr w:type="spellStart"/>
      <w:r w:rsidRPr="005C23F0">
        <w:rPr>
          <w:rFonts w:eastAsia="Arial"/>
          <w:b/>
          <w:bCs/>
          <w:lang w:eastAsia="zh-CN"/>
        </w:rPr>
        <w:t>NRBext</w:t>
      </w:r>
      <w:proofErr w:type="spellEnd"/>
      <w:r w:rsidRPr="005C23F0">
        <w:rPr>
          <w:rFonts w:eastAsia="Arial"/>
          <w:b/>
          <w:bCs/>
          <w:lang w:eastAsia="zh-CN"/>
        </w:rPr>
        <w:t xml:space="preserve">. </w:t>
      </w:r>
    </w:p>
    <w:p w14:paraId="1EA328F8" w14:textId="2BFA53CF" w:rsidR="00ED5CC4" w:rsidRPr="0073023C" w:rsidRDefault="00ED5CC4" w:rsidP="005C23F0">
      <w:pPr>
        <w:pStyle w:val="ListParagraph"/>
        <w:numPr>
          <w:ilvl w:val="1"/>
          <w:numId w:val="42"/>
        </w:numPr>
        <w:spacing w:after="0"/>
        <w:ind w:firstLineChars="0"/>
        <w:rPr>
          <w:rFonts w:eastAsia="Arial"/>
          <w:b/>
          <w:bCs/>
          <w:i/>
          <w:iCs/>
          <w:lang w:eastAsia="zh-CN"/>
        </w:rPr>
      </w:pPr>
      <w:r w:rsidRPr="005C23F0">
        <w:rPr>
          <w:rFonts w:eastAsia="Arial"/>
          <w:b/>
          <w:bCs/>
          <w:lang w:eastAsia="zh-CN"/>
        </w:rPr>
        <w:t>Thus</w:t>
      </w:r>
      <w:r w:rsidR="005C23F0" w:rsidRPr="005C23F0">
        <w:rPr>
          <w:rFonts w:eastAsia="Arial"/>
          <w:b/>
          <w:bCs/>
          <w:lang w:eastAsia="zh-CN"/>
        </w:rPr>
        <w:t>,</w:t>
      </w:r>
      <w:r w:rsidRPr="005C23F0">
        <w:rPr>
          <w:rFonts w:eastAsia="Arial"/>
          <w:b/>
          <w:bCs/>
          <w:lang w:eastAsia="zh-CN"/>
        </w:rPr>
        <w:t xml:space="preserve"> the extended BW </w:t>
      </w:r>
      <w:proofErr w:type="spellStart"/>
      <w:r w:rsidRPr="0073023C">
        <w:rPr>
          <w:rFonts w:eastAsia="Arial"/>
          <w:b/>
          <w:bCs/>
          <w:i/>
          <w:iCs/>
          <w:lang w:eastAsia="zh-CN"/>
        </w:rPr>
        <w:t>B</w:t>
      </w:r>
      <w:r w:rsidR="0073023C" w:rsidRPr="0073023C">
        <w:rPr>
          <w:rFonts w:eastAsia="Arial"/>
          <w:b/>
          <w:bCs/>
          <w:i/>
          <w:iCs/>
          <w:lang w:eastAsia="zh-CN"/>
        </w:rPr>
        <w:t>W</w:t>
      </w:r>
      <w:r w:rsidRPr="0073023C">
        <w:rPr>
          <w:rFonts w:eastAsia="Arial"/>
          <w:b/>
          <w:bCs/>
          <w:i/>
          <w:iCs/>
          <w:lang w:eastAsia="zh-CN"/>
        </w:rPr>
        <w:t>ext</w:t>
      </w:r>
      <w:proofErr w:type="spellEnd"/>
      <w:r w:rsidRPr="0073023C">
        <w:rPr>
          <w:rFonts w:eastAsia="Arial"/>
          <w:b/>
          <w:bCs/>
          <w:i/>
          <w:iCs/>
          <w:lang w:eastAsia="zh-CN"/>
        </w:rPr>
        <w:t>=</w:t>
      </w:r>
      <w:proofErr w:type="spellStart"/>
      <w:r w:rsidRPr="0073023C">
        <w:rPr>
          <w:rFonts w:eastAsia="Arial"/>
          <w:b/>
          <w:bCs/>
          <w:i/>
          <w:iCs/>
          <w:lang w:eastAsia="zh-CN"/>
        </w:rPr>
        <w:t>NRBext</w:t>
      </w:r>
      <w:proofErr w:type="spellEnd"/>
      <w:r w:rsidR="005C23F0" w:rsidRPr="0073023C">
        <w:rPr>
          <w:rFonts w:eastAsia="Arial"/>
          <w:b/>
          <w:bCs/>
          <w:i/>
          <w:iCs/>
          <w:lang w:eastAsia="zh-CN"/>
        </w:rPr>
        <w:t>*12*SCS</w:t>
      </w:r>
      <w:r w:rsidRPr="0073023C">
        <w:rPr>
          <w:rFonts w:eastAsia="Arial"/>
          <w:b/>
          <w:bCs/>
          <w:i/>
          <w:iCs/>
          <w:lang w:eastAsia="zh-CN"/>
        </w:rPr>
        <w:t>+</w:t>
      </w:r>
      <w:r w:rsidR="005C23F0" w:rsidRPr="0073023C">
        <w:rPr>
          <w:rFonts w:eastAsia="Arial"/>
          <w:b/>
          <w:bCs/>
          <w:i/>
          <w:iCs/>
          <w:lang w:eastAsia="zh-CN"/>
        </w:rPr>
        <w:t>2*</w:t>
      </w:r>
      <w:r w:rsidRPr="0073023C">
        <w:rPr>
          <w:rFonts w:eastAsia="Arial"/>
          <w:b/>
          <w:bCs/>
          <w:i/>
          <w:iCs/>
          <w:lang w:eastAsia="zh-CN"/>
        </w:rPr>
        <w:t>G</w:t>
      </w:r>
      <w:r w:rsidR="0073023C">
        <w:rPr>
          <w:rFonts w:eastAsia="Arial"/>
          <w:b/>
          <w:bCs/>
          <w:i/>
          <w:iCs/>
          <w:lang w:eastAsia="zh-CN"/>
        </w:rPr>
        <w:t>B</w:t>
      </w:r>
      <w:r w:rsidRPr="0073023C">
        <w:rPr>
          <w:rFonts w:eastAsia="Arial"/>
          <w:b/>
          <w:bCs/>
          <w:i/>
          <w:iCs/>
          <w:lang w:eastAsia="zh-CN"/>
        </w:rPr>
        <w:t>ext</w:t>
      </w:r>
      <w:r w:rsidR="005C23F0" w:rsidRPr="0073023C">
        <w:rPr>
          <w:rFonts w:eastAsia="Arial"/>
          <w:b/>
          <w:bCs/>
          <w:i/>
          <w:iCs/>
          <w:lang w:eastAsia="zh-CN"/>
        </w:rPr>
        <w:t>+1*SCS</w:t>
      </w:r>
    </w:p>
    <w:p w14:paraId="74676FAF" w14:textId="23AFA90A" w:rsidR="00ED5CC4" w:rsidRPr="005C23F0" w:rsidRDefault="00ED5CC4" w:rsidP="00ED5CC4">
      <w:pPr>
        <w:pStyle w:val="ListParagraph"/>
        <w:numPr>
          <w:ilvl w:val="0"/>
          <w:numId w:val="42"/>
        </w:numPr>
        <w:spacing w:after="0"/>
        <w:ind w:firstLineChars="0"/>
        <w:rPr>
          <w:rFonts w:eastAsia="Arial"/>
          <w:b/>
          <w:bCs/>
          <w:lang w:eastAsia="zh-CN"/>
        </w:rPr>
      </w:pPr>
      <w:r w:rsidRPr="005C23F0">
        <w:rPr>
          <w:rFonts w:eastAsia="Arial"/>
          <w:b/>
          <w:bCs/>
          <w:lang w:eastAsia="zh-CN"/>
        </w:rPr>
        <w:t>For 15kHz SCS extended NRB&gt;27</w:t>
      </w:r>
      <w:r w:rsidR="005C23F0" w:rsidRPr="005C23F0">
        <w:rPr>
          <w:rFonts w:eastAsia="Arial"/>
          <w:b/>
          <w:bCs/>
          <w:lang w:eastAsia="zh-CN"/>
        </w:rPr>
        <w:t>0</w:t>
      </w:r>
      <w:r w:rsidRPr="005C23F0">
        <w:rPr>
          <w:rFonts w:eastAsia="Arial"/>
          <w:b/>
          <w:bCs/>
          <w:lang w:eastAsia="zh-CN"/>
        </w:rPr>
        <w:t>, the guard-band uses the corresponding 30KHz CBW</w:t>
      </w:r>
      <w:r w:rsidR="005C23F0" w:rsidRPr="005C23F0">
        <w:rPr>
          <w:rFonts w:eastAsia="Arial"/>
          <w:b/>
          <w:bCs/>
          <w:lang w:eastAsia="zh-CN"/>
        </w:rPr>
        <w:t>&gt;50MHz</w:t>
      </w:r>
      <w:r w:rsidRPr="005C23F0">
        <w:rPr>
          <w:rFonts w:eastAsia="Arial"/>
          <w:b/>
          <w:bCs/>
          <w:lang w:eastAsia="zh-CN"/>
        </w:rPr>
        <w:t>.</w:t>
      </w:r>
    </w:p>
    <w:p w14:paraId="3F347241" w14:textId="77777777" w:rsidR="00ED5CC4" w:rsidRPr="005C23F0" w:rsidRDefault="00ED5CC4" w:rsidP="00ED5CC4">
      <w:pPr>
        <w:pStyle w:val="ListParagraph"/>
        <w:numPr>
          <w:ilvl w:val="0"/>
          <w:numId w:val="42"/>
        </w:numPr>
        <w:spacing w:after="0"/>
        <w:ind w:firstLineChars="0"/>
        <w:rPr>
          <w:rFonts w:eastAsia="Arial"/>
          <w:b/>
          <w:bCs/>
          <w:lang w:eastAsia="zh-CN"/>
        </w:rPr>
      </w:pPr>
      <w:r w:rsidRPr="005C23F0">
        <w:rPr>
          <w:rFonts w:eastAsia="Arial"/>
          <w:b/>
          <w:bCs/>
          <w:lang w:eastAsia="zh-CN"/>
        </w:rPr>
        <w:t>For 30kHz SCS extended NRB&gt;273, the 100MHz guard band is used since this is what is applied in CA.</w:t>
      </w:r>
    </w:p>
    <w:p w14:paraId="13955DC3" w14:textId="4FCAE466" w:rsidR="00ED5CC4" w:rsidRDefault="005C23F0" w:rsidP="005C23F0">
      <w:pPr>
        <w:pStyle w:val="ListParagraph"/>
        <w:numPr>
          <w:ilvl w:val="1"/>
          <w:numId w:val="42"/>
        </w:numPr>
        <w:spacing w:after="0"/>
        <w:ind w:firstLineChars="0"/>
        <w:rPr>
          <w:rFonts w:eastAsia="Arial"/>
          <w:b/>
          <w:bCs/>
          <w:lang w:eastAsia="zh-CN"/>
        </w:rPr>
      </w:pPr>
      <w:r w:rsidRPr="005C23F0">
        <w:rPr>
          <w:rFonts w:eastAsia="Arial"/>
          <w:b/>
          <w:bCs/>
          <w:lang w:eastAsia="zh-CN"/>
        </w:rPr>
        <w:t>It should be noted that the minimum guard-band reduces from 70MH</w:t>
      </w:r>
      <w:r>
        <w:rPr>
          <w:rFonts w:eastAsia="Arial"/>
          <w:b/>
          <w:bCs/>
          <w:lang w:eastAsia="zh-CN"/>
        </w:rPr>
        <w:t>z</w:t>
      </w:r>
      <w:r w:rsidRPr="005C23F0">
        <w:rPr>
          <w:rFonts w:eastAsia="Arial"/>
          <w:b/>
          <w:bCs/>
          <w:lang w:eastAsia="zh-CN"/>
        </w:rPr>
        <w:t xml:space="preserve"> to 100MHz</w:t>
      </w:r>
      <w:r w:rsidR="006E3CD7">
        <w:rPr>
          <w:rFonts w:eastAsia="Arial"/>
          <w:b/>
          <w:bCs/>
          <w:lang w:eastAsia="zh-CN"/>
        </w:rPr>
        <w:t>,</w:t>
      </w:r>
      <w:r w:rsidRPr="005C23F0">
        <w:rPr>
          <w:rFonts w:eastAsia="Arial"/>
          <w:b/>
          <w:bCs/>
          <w:lang w:eastAsia="zh-CN"/>
        </w:rPr>
        <w:t xml:space="preserve"> thus the 100MHz guard band is sa</w:t>
      </w:r>
      <w:r w:rsidR="006E3CD7">
        <w:rPr>
          <w:rFonts w:eastAsia="Arial"/>
          <w:b/>
          <w:bCs/>
          <w:lang w:eastAsia="zh-CN"/>
        </w:rPr>
        <w:t>f</w:t>
      </w:r>
      <w:r w:rsidRPr="005C23F0">
        <w:rPr>
          <w:rFonts w:eastAsia="Arial"/>
          <w:b/>
          <w:bCs/>
          <w:lang w:eastAsia="zh-CN"/>
        </w:rPr>
        <w:t xml:space="preserve">e for </w:t>
      </w:r>
      <w:proofErr w:type="spellStart"/>
      <w:r w:rsidRPr="0073023C">
        <w:rPr>
          <w:rFonts w:eastAsia="Arial"/>
          <w:b/>
          <w:bCs/>
          <w:i/>
          <w:iCs/>
          <w:lang w:eastAsia="zh-CN"/>
        </w:rPr>
        <w:t>BWext</w:t>
      </w:r>
      <w:proofErr w:type="spellEnd"/>
      <w:r w:rsidRPr="005C23F0">
        <w:rPr>
          <w:rFonts w:eastAsia="Arial"/>
          <w:b/>
          <w:bCs/>
          <w:lang w:eastAsia="zh-CN"/>
        </w:rPr>
        <w:t>&gt;100MHz and is the guard band associated with contiguous CA using 100MHz CBW and nominal channel spacing.</w:t>
      </w:r>
    </w:p>
    <w:p w14:paraId="5678404F" w14:textId="7CD45C05" w:rsidR="005C23F0" w:rsidRDefault="005C23F0" w:rsidP="005C23F0">
      <w:pPr>
        <w:pStyle w:val="ListParagraph"/>
        <w:numPr>
          <w:ilvl w:val="1"/>
          <w:numId w:val="42"/>
        </w:numPr>
        <w:spacing w:after="0"/>
        <w:ind w:firstLineChars="0"/>
        <w:rPr>
          <w:rFonts w:eastAsia="Arial"/>
          <w:b/>
          <w:bCs/>
          <w:lang w:eastAsia="zh-CN"/>
        </w:rPr>
      </w:pPr>
      <w:r>
        <w:rPr>
          <w:rFonts w:eastAsia="Arial"/>
          <w:b/>
          <w:bCs/>
          <w:lang w:eastAsia="zh-CN"/>
        </w:rPr>
        <w:t>This enables extended bandwidths for channels that are part of contiguous channels in CA or collocated channels that are SCS aligned.</w:t>
      </w:r>
    </w:p>
    <w:p w14:paraId="335A3570" w14:textId="35A9097A" w:rsidR="005C23F0" w:rsidRDefault="005C23F0" w:rsidP="005C23F0">
      <w:pPr>
        <w:pStyle w:val="ListParagraph"/>
        <w:numPr>
          <w:ilvl w:val="0"/>
          <w:numId w:val="42"/>
        </w:numPr>
        <w:spacing w:after="0"/>
        <w:ind w:firstLineChars="0"/>
        <w:rPr>
          <w:rFonts w:eastAsia="Arial"/>
          <w:b/>
          <w:bCs/>
          <w:lang w:eastAsia="zh-CN"/>
        </w:rPr>
      </w:pPr>
      <w:r>
        <w:rPr>
          <w:rFonts w:eastAsia="Arial"/>
          <w:b/>
          <w:bCs/>
          <w:lang w:eastAsia="zh-CN"/>
        </w:rPr>
        <w:t>Based on this worst-case guard-band approach we propose that RAN4 studies whether the extended BW emissions can be guarantee</w:t>
      </w:r>
      <w:r w:rsidR="006E3CD7">
        <w:rPr>
          <w:rFonts w:eastAsia="Arial"/>
          <w:b/>
          <w:bCs/>
          <w:lang w:eastAsia="zh-CN"/>
        </w:rPr>
        <w:t>d</w:t>
      </w:r>
      <w:r>
        <w:rPr>
          <w:rFonts w:eastAsia="Arial"/>
          <w:b/>
          <w:bCs/>
          <w:lang w:eastAsia="zh-CN"/>
        </w:rPr>
        <w:t xml:space="preserve"> by only measuring the existing CBW supported in the band.</w:t>
      </w:r>
    </w:p>
    <w:p w14:paraId="75FD2DAA" w14:textId="3BAC9E1F" w:rsidR="006F0E54" w:rsidRPr="00C96E0E" w:rsidRDefault="006F0E54" w:rsidP="005C23F0">
      <w:pPr>
        <w:pStyle w:val="ListParagraph"/>
        <w:numPr>
          <w:ilvl w:val="0"/>
          <w:numId w:val="42"/>
        </w:numPr>
        <w:spacing w:after="0"/>
        <w:ind w:firstLineChars="0"/>
        <w:rPr>
          <w:rFonts w:eastAsia="Arial"/>
          <w:b/>
          <w:bCs/>
          <w:lang w:eastAsia="zh-CN"/>
        </w:rPr>
      </w:pPr>
      <w:r w:rsidRPr="005C23F0">
        <w:rPr>
          <w:rFonts w:eastAsiaTheme="minorEastAsia"/>
          <w:b/>
          <w:bCs/>
          <w:lang w:val="en-US"/>
        </w:rPr>
        <w:t xml:space="preserve">In all cases, it is the BS responsibility to </w:t>
      </w:r>
      <w:r w:rsidR="000A6DD0" w:rsidRPr="005C23F0">
        <w:rPr>
          <w:rFonts w:eastAsiaTheme="minorEastAsia"/>
          <w:b/>
          <w:bCs/>
          <w:lang w:val="en-US"/>
        </w:rPr>
        <w:t>en</w:t>
      </w:r>
      <w:r w:rsidRPr="005C23F0">
        <w:rPr>
          <w:rFonts w:eastAsiaTheme="minorEastAsia"/>
          <w:b/>
          <w:bCs/>
          <w:lang w:val="en-US"/>
        </w:rPr>
        <w:t xml:space="preserve">sure </w:t>
      </w:r>
      <w:r w:rsidR="006E3CD7">
        <w:rPr>
          <w:rFonts w:eastAsiaTheme="minorEastAsia"/>
          <w:b/>
          <w:bCs/>
          <w:lang w:val="en-US"/>
        </w:rPr>
        <w:t xml:space="preserve">that </w:t>
      </w:r>
      <w:r w:rsidRPr="005C23F0">
        <w:rPr>
          <w:rFonts w:eastAsiaTheme="minorEastAsia"/>
          <w:b/>
          <w:bCs/>
          <w:lang w:val="en-US"/>
        </w:rPr>
        <w:t xml:space="preserve">the RB extension enables the </w:t>
      </w:r>
      <w:r w:rsidR="005C23F0" w:rsidRPr="005C23F0">
        <w:rPr>
          <w:rFonts w:eastAsiaTheme="minorEastAsia"/>
          <w:b/>
          <w:bCs/>
          <w:lang w:val="en-US"/>
        </w:rPr>
        <w:t>use of the extended guard</w:t>
      </w:r>
      <w:r w:rsidR="006E3CD7">
        <w:rPr>
          <w:rFonts w:eastAsiaTheme="minorEastAsia"/>
          <w:b/>
          <w:bCs/>
          <w:lang w:val="en-US"/>
        </w:rPr>
        <w:t xml:space="preserve"> </w:t>
      </w:r>
      <w:r w:rsidR="005C23F0" w:rsidRPr="005C23F0">
        <w:rPr>
          <w:rFonts w:eastAsiaTheme="minorEastAsia"/>
          <w:b/>
          <w:bCs/>
          <w:lang w:val="en-US"/>
        </w:rPr>
        <w:t>band</w:t>
      </w:r>
      <w:r w:rsidRPr="005C23F0">
        <w:rPr>
          <w:rFonts w:eastAsiaTheme="minorEastAsia"/>
          <w:b/>
          <w:bCs/>
          <w:lang w:val="en-US"/>
        </w:rPr>
        <w:t xml:space="preserve"> </w:t>
      </w:r>
      <w:r w:rsidR="005C23F0" w:rsidRPr="005C23F0">
        <w:rPr>
          <w:rFonts w:eastAsiaTheme="minorEastAsia"/>
          <w:b/>
          <w:bCs/>
          <w:lang w:val="en-US"/>
        </w:rPr>
        <w:t xml:space="preserve">to define the out of band emissions based on </w:t>
      </w:r>
      <w:proofErr w:type="spellStart"/>
      <w:r w:rsidR="005C23F0" w:rsidRPr="0073023C">
        <w:rPr>
          <w:rFonts w:eastAsiaTheme="minorEastAsia"/>
          <w:b/>
          <w:bCs/>
          <w:i/>
          <w:iCs/>
          <w:lang w:val="en-US"/>
        </w:rPr>
        <w:t>BWext</w:t>
      </w:r>
      <w:proofErr w:type="spellEnd"/>
      <w:r w:rsidR="005C23F0" w:rsidRPr="005C23F0">
        <w:rPr>
          <w:rFonts w:eastAsiaTheme="minorEastAsia"/>
          <w:b/>
          <w:bCs/>
          <w:lang w:val="en-US"/>
        </w:rPr>
        <w:t xml:space="preserve"> and initial CBW based OOBE regions</w:t>
      </w:r>
      <w:r w:rsidRPr="005C23F0">
        <w:rPr>
          <w:rFonts w:eastAsiaTheme="minorEastAsia"/>
          <w:b/>
          <w:bCs/>
          <w:lang w:val="en-US"/>
        </w:rPr>
        <w:t>.</w:t>
      </w:r>
    </w:p>
    <w:p w14:paraId="02DB6DD1" w14:textId="54AD9933" w:rsidR="00C96E0E" w:rsidRPr="00C96E0E" w:rsidRDefault="00C96E0E" w:rsidP="00C96E0E">
      <w:pPr>
        <w:pStyle w:val="ListParagraph"/>
        <w:numPr>
          <w:ilvl w:val="1"/>
          <w:numId w:val="42"/>
        </w:numPr>
        <w:overflowPunct/>
        <w:autoSpaceDE/>
        <w:autoSpaceDN/>
        <w:adjustRightInd/>
        <w:spacing w:after="0"/>
        <w:ind w:firstLineChars="0"/>
        <w:textAlignment w:val="auto"/>
        <w:rPr>
          <w:rFonts w:eastAsiaTheme="minorEastAsia"/>
          <w:b/>
          <w:bCs/>
          <w:lang w:val="en-US"/>
        </w:rPr>
      </w:pPr>
      <w:r>
        <w:rPr>
          <w:rFonts w:eastAsiaTheme="minorEastAsia"/>
          <w:b/>
          <w:bCs/>
          <w:lang w:val="en-US"/>
        </w:rPr>
        <w:t>In cases where a nearby band needs to be protected by the UE, the BS ensures that the RB extension and corresponding guard band is set in accordance with the protected band region by making sure that the protected band is within the spurious emission range (-30dBm/MHz) of the extended BW OOBE region.</w:t>
      </w:r>
    </w:p>
    <w:p w14:paraId="163914E1" w14:textId="26E2B2BD" w:rsidR="008A346A" w:rsidRDefault="008A346A" w:rsidP="008A346A">
      <w:pPr>
        <w:overflowPunct/>
        <w:autoSpaceDE/>
        <w:autoSpaceDN/>
        <w:adjustRightInd/>
        <w:spacing w:after="0"/>
        <w:textAlignment w:val="auto"/>
        <w:rPr>
          <w:rFonts w:eastAsiaTheme="minorEastAsia"/>
          <w:lang w:val="en-US"/>
        </w:rPr>
      </w:pPr>
    </w:p>
    <w:p w14:paraId="6B167CE2" w14:textId="0154F581" w:rsidR="00302DD9" w:rsidRDefault="00D52E81" w:rsidP="0090677C">
      <w:pPr>
        <w:overflowPunct/>
        <w:autoSpaceDE/>
        <w:autoSpaceDN/>
        <w:adjustRightInd/>
        <w:spacing w:after="0"/>
        <w:textAlignment w:val="auto"/>
        <w:rPr>
          <w:rFonts w:eastAsiaTheme="minorEastAsia"/>
          <w:lang w:val="en-US"/>
        </w:rPr>
      </w:pPr>
      <w:r w:rsidRPr="00D52E81">
        <w:rPr>
          <w:rFonts w:eastAsiaTheme="minorEastAsia"/>
          <w:lang w:val="en-US"/>
        </w:rPr>
        <w:t xml:space="preserve">Based on this </w:t>
      </w:r>
      <w:r>
        <w:rPr>
          <w:rFonts w:eastAsiaTheme="minorEastAsia"/>
          <w:lang w:val="en-US"/>
        </w:rPr>
        <w:t>guaranteed guard band approach, the UE that has been tested for emissions</w:t>
      </w:r>
      <w:r w:rsidR="000A6DD0">
        <w:rPr>
          <w:rFonts w:eastAsiaTheme="minorEastAsia"/>
          <w:lang w:val="en-US"/>
        </w:rPr>
        <w:t>,</w:t>
      </w:r>
      <w:r>
        <w:rPr>
          <w:rFonts w:eastAsiaTheme="minorEastAsia"/>
          <w:lang w:val="en-US"/>
        </w:rPr>
        <w:t xml:space="preserve"> up to a maximum CBW can meet the emission </w:t>
      </w:r>
      <w:r w:rsidR="000A6DD0">
        <w:rPr>
          <w:rFonts w:eastAsiaTheme="minorEastAsia"/>
          <w:lang w:val="en-US"/>
        </w:rPr>
        <w:t xml:space="preserve">requirements </w:t>
      </w:r>
      <w:r>
        <w:rPr>
          <w:rFonts w:eastAsiaTheme="minorEastAsia"/>
          <w:lang w:val="en-US"/>
        </w:rPr>
        <w:t>for any extended bandwidth between two supported CBW</w:t>
      </w:r>
      <w:r w:rsidR="000A6DD0">
        <w:rPr>
          <w:rFonts w:eastAsiaTheme="minorEastAsia"/>
          <w:lang w:val="en-US"/>
        </w:rPr>
        <w:t>s</w:t>
      </w:r>
      <w:r>
        <w:rPr>
          <w:rFonts w:eastAsiaTheme="minorEastAsia"/>
          <w:lang w:val="en-US"/>
        </w:rPr>
        <w:t xml:space="preserve"> when redefining its outer/edge allocations to inner</w:t>
      </w:r>
      <w:r w:rsidR="000A6DD0">
        <w:rPr>
          <w:rFonts w:eastAsiaTheme="minorEastAsia"/>
          <w:lang w:val="en-US"/>
        </w:rPr>
        <w:t xml:space="preserve"> allocations</w:t>
      </w:r>
      <w:r>
        <w:rPr>
          <w:rFonts w:eastAsiaTheme="minorEastAsia"/>
          <w:lang w:val="en-US"/>
        </w:rPr>
        <w:t>.</w:t>
      </w:r>
    </w:p>
    <w:p w14:paraId="335AFD94" w14:textId="44BED495" w:rsidR="0003730B" w:rsidRDefault="0003730B" w:rsidP="0090677C">
      <w:pPr>
        <w:overflowPunct/>
        <w:autoSpaceDE/>
        <w:autoSpaceDN/>
        <w:adjustRightInd/>
        <w:spacing w:after="0"/>
        <w:textAlignment w:val="auto"/>
        <w:rPr>
          <w:rFonts w:eastAsiaTheme="minorEastAsia"/>
          <w:lang w:val="en-US"/>
        </w:rPr>
      </w:pPr>
    </w:p>
    <w:p w14:paraId="67EE37D9" w14:textId="4CC8D9D5" w:rsidR="0003730B" w:rsidRDefault="0003730B" w:rsidP="0003730B">
      <w:pPr>
        <w:pStyle w:val="00BodyText"/>
      </w:pPr>
      <w:r>
        <w:t>Verification of the concept with measurement of a minimum set of cases.</w:t>
      </w:r>
    </w:p>
    <w:p w14:paraId="4F3A7B8A" w14:textId="37F23AC3" w:rsidR="0003730B" w:rsidRDefault="0003730B" w:rsidP="0003730B">
      <w:pPr>
        <w:pStyle w:val="00BodyText"/>
        <w:spacing w:after="0"/>
        <w:rPr>
          <w:rFonts w:ascii="Times New Roman" w:eastAsiaTheme="minorEastAsia" w:hAnsi="Times New Roman"/>
          <w:sz w:val="20"/>
          <w:lang w:eastAsia="en-GB"/>
        </w:rPr>
      </w:pPr>
      <w:r>
        <w:rPr>
          <w:rFonts w:ascii="Times New Roman" w:eastAsiaTheme="minorEastAsia" w:hAnsi="Times New Roman"/>
          <w:sz w:val="20"/>
          <w:lang w:eastAsia="en-GB"/>
        </w:rPr>
        <w:t xml:space="preserve">Although we could not perform a complete set of measurement, we had the time to verify a few </w:t>
      </w:r>
      <w:r w:rsidR="00265B20">
        <w:rPr>
          <w:rFonts w:ascii="Times New Roman" w:eastAsiaTheme="minorEastAsia" w:hAnsi="Times New Roman"/>
          <w:sz w:val="20"/>
          <w:lang w:eastAsia="en-GB"/>
        </w:rPr>
        <w:t xml:space="preserve">QPSK </w:t>
      </w:r>
      <w:r>
        <w:rPr>
          <w:rFonts w:ascii="Times New Roman" w:eastAsiaTheme="minorEastAsia" w:hAnsi="Times New Roman"/>
          <w:sz w:val="20"/>
          <w:lang w:eastAsia="en-GB"/>
        </w:rPr>
        <w:t>allocations</w:t>
      </w:r>
      <w:r w:rsidR="00265B20">
        <w:rPr>
          <w:rFonts w:ascii="Times New Roman" w:eastAsiaTheme="minorEastAsia" w:hAnsi="Times New Roman"/>
          <w:sz w:val="20"/>
          <w:lang w:eastAsia="en-GB"/>
        </w:rPr>
        <w:t>,</w:t>
      </w:r>
      <w:r>
        <w:rPr>
          <w:rFonts w:ascii="Times New Roman" w:eastAsiaTheme="minorEastAsia" w:hAnsi="Times New Roman"/>
          <w:sz w:val="20"/>
          <w:lang w:eastAsia="en-GB"/>
        </w:rPr>
        <w:t xml:space="preserve"> a 20MHz channel bandwidth</w:t>
      </w:r>
      <w:r w:rsidR="00736D6C">
        <w:rPr>
          <w:rFonts w:ascii="Times New Roman" w:eastAsiaTheme="minorEastAsia" w:hAnsi="Times New Roman"/>
          <w:sz w:val="20"/>
          <w:lang w:eastAsia="en-GB"/>
        </w:rPr>
        <w:t xml:space="preserve"> for PC</w:t>
      </w:r>
      <w:r w:rsidR="00265B20">
        <w:rPr>
          <w:rFonts w:ascii="Times New Roman" w:eastAsiaTheme="minorEastAsia" w:hAnsi="Times New Roman"/>
          <w:sz w:val="20"/>
          <w:lang w:eastAsia="en-GB"/>
        </w:rPr>
        <w:t>2</w:t>
      </w:r>
      <w:r w:rsidR="00736D6C">
        <w:rPr>
          <w:rFonts w:ascii="Times New Roman" w:eastAsiaTheme="minorEastAsia" w:hAnsi="Times New Roman"/>
          <w:sz w:val="20"/>
          <w:lang w:eastAsia="en-GB"/>
        </w:rPr>
        <w:t xml:space="preserve"> as we observed HPUE is a more critical case due to a more stringent SEM requirement, and the measurement is based on a pass/fail of ACLR, SEM and SE at the allowed PC</w:t>
      </w:r>
      <w:proofErr w:type="gramStart"/>
      <w:r w:rsidR="00736D6C">
        <w:rPr>
          <w:rFonts w:ascii="Times New Roman" w:eastAsiaTheme="minorEastAsia" w:hAnsi="Times New Roman"/>
          <w:sz w:val="20"/>
          <w:lang w:eastAsia="en-GB"/>
        </w:rPr>
        <w:t xml:space="preserve">2 </w:t>
      </w:r>
      <w:r>
        <w:rPr>
          <w:rFonts w:ascii="Times New Roman" w:eastAsiaTheme="minorEastAsia" w:hAnsi="Times New Roman"/>
          <w:sz w:val="20"/>
          <w:lang w:eastAsia="en-GB"/>
        </w:rPr>
        <w:t>.</w:t>
      </w:r>
      <w:proofErr w:type="gramEnd"/>
      <w:r>
        <w:rPr>
          <w:rFonts w:ascii="Times New Roman" w:eastAsiaTheme="minorEastAsia" w:hAnsi="Times New Roman"/>
          <w:sz w:val="20"/>
          <w:lang w:eastAsia="en-GB"/>
        </w:rPr>
        <w:t xml:space="preserve"> The results can be found in the table below. The table can be decoded as follows:</w:t>
      </w:r>
    </w:p>
    <w:p w14:paraId="2C4FDBA1" w14:textId="55AF3424" w:rsidR="0003730B" w:rsidRDefault="0003730B" w:rsidP="00265B20">
      <w:pPr>
        <w:pStyle w:val="00BodyText"/>
        <w:numPr>
          <w:ilvl w:val="0"/>
          <w:numId w:val="46"/>
        </w:numPr>
        <w:spacing w:after="0"/>
        <w:rPr>
          <w:rFonts w:ascii="Times New Roman" w:eastAsiaTheme="minorEastAsia" w:hAnsi="Times New Roman"/>
          <w:sz w:val="20"/>
          <w:lang w:eastAsia="en-GB"/>
        </w:rPr>
      </w:pPr>
      <w:r>
        <w:rPr>
          <w:rFonts w:ascii="Times New Roman" w:eastAsiaTheme="minorEastAsia" w:hAnsi="Times New Roman"/>
          <w:sz w:val="20"/>
          <w:lang w:eastAsia="en-GB"/>
        </w:rPr>
        <w:t>In the first</w:t>
      </w:r>
      <w:r w:rsidR="00736D6C">
        <w:rPr>
          <w:rFonts w:ascii="Times New Roman" w:eastAsiaTheme="minorEastAsia" w:hAnsi="Times New Roman"/>
          <w:sz w:val="20"/>
          <w:lang w:eastAsia="en-GB"/>
        </w:rPr>
        <w:t xml:space="preserve"> </w:t>
      </w:r>
      <w:r w:rsidR="00265B20">
        <w:rPr>
          <w:rFonts w:ascii="Times New Roman" w:eastAsiaTheme="minorEastAsia" w:hAnsi="Times New Roman"/>
          <w:sz w:val="20"/>
          <w:lang w:eastAsia="en-GB"/>
        </w:rPr>
        <w:t>three</w:t>
      </w:r>
      <w:r w:rsidR="00736D6C">
        <w:rPr>
          <w:rFonts w:ascii="Times New Roman" w:eastAsiaTheme="minorEastAsia" w:hAnsi="Times New Roman"/>
          <w:sz w:val="20"/>
          <w:lang w:eastAsia="en-GB"/>
        </w:rPr>
        <w:t xml:space="preserve"> </w:t>
      </w:r>
      <w:r>
        <w:rPr>
          <w:rFonts w:ascii="Times New Roman" w:eastAsiaTheme="minorEastAsia" w:hAnsi="Times New Roman"/>
          <w:sz w:val="20"/>
          <w:lang w:eastAsia="en-GB"/>
        </w:rPr>
        <w:t>column</w:t>
      </w:r>
      <w:r w:rsidR="00265B20">
        <w:rPr>
          <w:rFonts w:ascii="Times New Roman" w:eastAsiaTheme="minorEastAsia" w:hAnsi="Times New Roman"/>
          <w:sz w:val="20"/>
          <w:lang w:eastAsia="en-GB"/>
        </w:rPr>
        <w:t>s</w:t>
      </w:r>
      <w:r w:rsidR="00736D6C">
        <w:rPr>
          <w:rFonts w:ascii="Times New Roman" w:eastAsiaTheme="minorEastAsia" w:hAnsi="Times New Roman"/>
          <w:sz w:val="20"/>
          <w:lang w:eastAsia="en-GB"/>
        </w:rPr>
        <w:t xml:space="preserve"> provide</w:t>
      </w:r>
      <w:r>
        <w:rPr>
          <w:rFonts w:ascii="Times New Roman" w:eastAsiaTheme="minorEastAsia" w:hAnsi="Times New Roman"/>
          <w:sz w:val="20"/>
          <w:lang w:eastAsia="en-GB"/>
        </w:rPr>
        <w:t xml:space="preserve"> the allocation </w:t>
      </w:r>
      <w:r w:rsidR="00736D6C">
        <w:rPr>
          <w:rFonts w:ascii="Times New Roman" w:eastAsiaTheme="minorEastAsia" w:hAnsi="Times New Roman"/>
          <w:sz w:val="20"/>
          <w:lang w:eastAsia="en-GB"/>
        </w:rPr>
        <w:t xml:space="preserve">name with LCRB and </w:t>
      </w:r>
      <w:proofErr w:type="spellStart"/>
      <w:r w:rsidR="00736D6C">
        <w:rPr>
          <w:rFonts w:ascii="Times New Roman" w:eastAsiaTheme="minorEastAsia" w:hAnsi="Times New Roman"/>
          <w:sz w:val="20"/>
          <w:lang w:eastAsia="en-GB"/>
        </w:rPr>
        <w:t>RBstart</w:t>
      </w:r>
      <w:proofErr w:type="spellEnd"/>
      <w:r w:rsidR="00736D6C">
        <w:rPr>
          <w:rFonts w:ascii="Times New Roman" w:eastAsiaTheme="minorEastAsia" w:hAnsi="Times New Roman"/>
          <w:sz w:val="20"/>
          <w:lang w:eastAsia="en-GB"/>
        </w:rPr>
        <w:t xml:space="preserve">, </w:t>
      </w:r>
      <w:r w:rsidR="00265B20">
        <w:rPr>
          <w:rFonts w:ascii="Times New Roman" w:eastAsiaTheme="minorEastAsia" w:hAnsi="Times New Roman"/>
          <w:sz w:val="20"/>
          <w:lang w:eastAsia="en-GB"/>
        </w:rPr>
        <w:t>OFDM type, and Edge/Inner/Outer type:</w:t>
      </w:r>
    </w:p>
    <w:p w14:paraId="13B9129D" w14:textId="62C5202E" w:rsidR="00265B20" w:rsidRDefault="00265B20" w:rsidP="00265B20">
      <w:pPr>
        <w:pStyle w:val="00BodyText"/>
        <w:numPr>
          <w:ilvl w:val="1"/>
          <w:numId w:val="46"/>
        </w:numPr>
        <w:spacing w:after="0"/>
        <w:rPr>
          <w:rFonts w:ascii="Times New Roman" w:eastAsiaTheme="minorEastAsia" w:hAnsi="Times New Roman"/>
          <w:sz w:val="20"/>
          <w:lang w:eastAsia="en-GB"/>
        </w:rPr>
      </w:pPr>
      <w:r>
        <w:rPr>
          <w:rFonts w:ascii="Times New Roman" w:eastAsiaTheme="minorEastAsia" w:hAnsi="Times New Roman"/>
          <w:sz w:val="20"/>
          <w:lang w:eastAsia="en-GB"/>
        </w:rPr>
        <w:t>The allocations in green are inner allocations.</w:t>
      </w:r>
    </w:p>
    <w:p w14:paraId="50B3DE0C" w14:textId="3F7080A5" w:rsidR="00265B20" w:rsidRDefault="00265B20" w:rsidP="00265B20">
      <w:pPr>
        <w:pStyle w:val="00BodyText"/>
        <w:numPr>
          <w:ilvl w:val="1"/>
          <w:numId w:val="46"/>
        </w:numPr>
        <w:spacing w:after="0"/>
        <w:rPr>
          <w:rFonts w:ascii="Times New Roman" w:eastAsiaTheme="minorEastAsia" w:hAnsi="Times New Roman"/>
          <w:sz w:val="20"/>
          <w:lang w:eastAsia="en-GB"/>
        </w:rPr>
      </w:pPr>
      <w:r>
        <w:rPr>
          <w:rFonts w:ascii="Times New Roman" w:eastAsiaTheme="minorEastAsia" w:hAnsi="Times New Roman"/>
          <w:sz w:val="20"/>
          <w:lang w:eastAsia="en-GB"/>
        </w:rPr>
        <w:t xml:space="preserve">The allocations in yellow can use inner MPR if the UE CBW is extended by </w:t>
      </w:r>
      <w:proofErr w:type="gramStart"/>
      <w:r>
        <w:rPr>
          <w:rFonts w:ascii="Times New Roman" w:eastAsiaTheme="minorEastAsia" w:hAnsi="Times New Roman"/>
          <w:sz w:val="20"/>
          <w:lang w:eastAsia="en-GB"/>
        </w:rPr>
        <w:t>ceil(</w:t>
      </w:r>
      <w:proofErr w:type="gramEnd"/>
      <w:r>
        <w:rPr>
          <w:rFonts w:ascii="Times New Roman" w:eastAsiaTheme="minorEastAsia" w:hAnsi="Times New Roman"/>
          <w:sz w:val="20"/>
          <w:lang w:eastAsia="en-GB"/>
        </w:rPr>
        <w:t>NRB/2) on the lower side.</w:t>
      </w:r>
    </w:p>
    <w:p w14:paraId="0D5EA502" w14:textId="5A03FE0D" w:rsidR="00265B20" w:rsidRDefault="00265B20" w:rsidP="00265B20">
      <w:pPr>
        <w:pStyle w:val="00BodyText"/>
        <w:numPr>
          <w:ilvl w:val="1"/>
          <w:numId w:val="46"/>
        </w:numPr>
        <w:spacing w:after="0"/>
        <w:rPr>
          <w:rFonts w:ascii="Times New Roman" w:eastAsiaTheme="minorEastAsia" w:hAnsi="Times New Roman"/>
          <w:sz w:val="20"/>
          <w:lang w:eastAsia="en-GB"/>
        </w:rPr>
      </w:pPr>
      <w:r>
        <w:rPr>
          <w:rFonts w:ascii="Times New Roman" w:eastAsiaTheme="minorEastAsia" w:hAnsi="Times New Roman"/>
          <w:sz w:val="20"/>
          <w:lang w:eastAsia="en-GB"/>
        </w:rPr>
        <w:t xml:space="preserve">The allocations in </w:t>
      </w:r>
      <w:r>
        <w:rPr>
          <w:rFonts w:ascii="Times New Roman" w:eastAsiaTheme="minorEastAsia" w:hAnsi="Times New Roman"/>
          <w:sz w:val="20"/>
          <w:lang w:eastAsia="en-GB"/>
        </w:rPr>
        <w:t>orange</w:t>
      </w:r>
      <w:r>
        <w:rPr>
          <w:rFonts w:ascii="Times New Roman" w:eastAsiaTheme="minorEastAsia" w:hAnsi="Times New Roman"/>
          <w:sz w:val="20"/>
          <w:lang w:eastAsia="en-GB"/>
        </w:rPr>
        <w:t xml:space="preserve"> can use inner MPR i</w:t>
      </w:r>
      <w:r>
        <w:rPr>
          <w:rFonts w:ascii="Times New Roman" w:eastAsiaTheme="minorEastAsia" w:hAnsi="Times New Roman"/>
          <w:sz w:val="20"/>
          <w:lang w:eastAsia="en-GB"/>
        </w:rPr>
        <w:t>f</w:t>
      </w:r>
      <w:r>
        <w:rPr>
          <w:rFonts w:ascii="Times New Roman" w:eastAsiaTheme="minorEastAsia" w:hAnsi="Times New Roman"/>
          <w:sz w:val="20"/>
          <w:lang w:eastAsia="en-GB"/>
        </w:rPr>
        <w:t xml:space="preserve"> the UE CBW is extended by </w:t>
      </w:r>
      <w:proofErr w:type="gramStart"/>
      <w:r>
        <w:rPr>
          <w:rFonts w:ascii="Times New Roman" w:eastAsiaTheme="minorEastAsia" w:hAnsi="Times New Roman"/>
          <w:sz w:val="20"/>
          <w:lang w:eastAsia="en-GB"/>
        </w:rPr>
        <w:t>ceil(</w:t>
      </w:r>
      <w:proofErr w:type="gramEnd"/>
      <w:r>
        <w:rPr>
          <w:rFonts w:ascii="Times New Roman" w:eastAsiaTheme="minorEastAsia" w:hAnsi="Times New Roman"/>
          <w:sz w:val="20"/>
          <w:lang w:eastAsia="en-GB"/>
        </w:rPr>
        <w:t xml:space="preserve">NRB/2) on </w:t>
      </w:r>
      <w:r>
        <w:rPr>
          <w:rFonts w:ascii="Times New Roman" w:eastAsiaTheme="minorEastAsia" w:hAnsi="Times New Roman"/>
          <w:sz w:val="20"/>
          <w:lang w:eastAsia="en-GB"/>
        </w:rPr>
        <w:t>both</w:t>
      </w:r>
      <w:r>
        <w:rPr>
          <w:rFonts w:ascii="Times New Roman" w:eastAsiaTheme="minorEastAsia" w:hAnsi="Times New Roman"/>
          <w:sz w:val="20"/>
          <w:lang w:eastAsia="en-GB"/>
        </w:rPr>
        <w:t xml:space="preserve"> side</w:t>
      </w:r>
      <w:r>
        <w:rPr>
          <w:rFonts w:ascii="Times New Roman" w:eastAsiaTheme="minorEastAsia" w:hAnsi="Times New Roman"/>
          <w:sz w:val="20"/>
          <w:lang w:eastAsia="en-GB"/>
        </w:rPr>
        <w:t>s.</w:t>
      </w:r>
    </w:p>
    <w:p w14:paraId="7CF89840" w14:textId="77777777" w:rsidR="00265B20" w:rsidRDefault="00265B20" w:rsidP="00265B20">
      <w:pPr>
        <w:pStyle w:val="00BodyText"/>
        <w:numPr>
          <w:ilvl w:val="0"/>
          <w:numId w:val="46"/>
        </w:numPr>
        <w:spacing w:after="0"/>
        <w:rPr>
          <w:rFonts w:ascii="Times New Roman" w:eastAsiaTheme="minorEastAsia" w:hAnsi="Times New Roman"/>
          <w:sz w:val="20"/>
          <w:lang w:eastAsia="en-GB"/>
        </w:rPr>
      </w:pPr>
      <w:r>
        <w:rPr>
          <w:rFonts w:ascii="Times New Roman" w:eastAsiaTheme="minorEastAsia" w:hAnsi="Times New Roman"/>
          <w:sz w:val="20"/>
          <w:lang w:eastAsia="en-GB"/>
        </w:rPr>
        <w:t xml:space="preserve">Next column is the measured output power which accounts for the PC2 inner </w:t>
      </w:r>
      <w:proofErr w:type="gramStart"/>
      <w:r>
        <w:rPr>
          <w:rFonts w:ascii="Times New Roman" w:eastAsiaTheme="minorEastAsia" w:hAnsi="Times New Roman"/>
          <w:sz w:val="20"/>
          <w:lang w:eastAsia="en-GB"/>
        </w:rPr>
        <w:t>MPR</w:t>
      </w:r>
      <w:proofErr w:type="gramEnd"/>
    </w:p>
    <w:p w14:paraId="1B2F5021" w14:textId="36D3340F" w:rsidR="00265B20" w:rsidRDefault="00265B20" w:rsidP="00265B20">
      <w:pPr>
        <w:pStyle w:val="00BodyText"/>
        <w:numPr>
          <w:ilvl w:val="0"/>
          <w:numId w:val="46"/>
        </w:numPr>
        <w:spacing w:after="0"/>
        <w:rPr>
          <w:rFonts w:ascii="Times New Roman" w:eastAsiaTheme="minorEastAsia" w:hAnsi="Times New Roman"/>
          <w:sz w:val="20"/>
          <w:lang w:eastAsia="en-GB"/>
        </w:rPr>
      </w:pPr>
      <w:r>
        <w:rPr>
          <w:rFonts w:ascii="Times New Roman" w:eastAsiaTheme="minorEastAsia" w:hAnsi="Times New Roman"/>
          <w:sz w:val="20"/>
          <w:lang w:eastAsia="en-GB"/>
        </w:rPr>
        <w:t xml:space="preserve">The </w:t>
      </w:r>
      <w:r w:rsidR="00C31AC3">
        <w:rPr>
          <w:rFonts w:ascii="Times New Roman" w:eastAsiaTheme="minorEastAsia" w:hAnsi="Times New Roman"/>
          <w:sz w:val="20"/>
          <w:lang w:eastAsia="en-GB"/>
        </w:rPr>
        <w:t xml:space="preserve">next four </w:t>
      </w:r>
      <w:r>
        <w:rPr>
          <w:rFonts w:ascii="Times New Roman" w:eastAsiaTheme="minorEastAsia" w:hAnsi="Times New Roman"/>
          <w:sz w:val="20"/>
          <w:lang w:eastAsia="en-GB"/>
        </w:rPr>
        <w:t xml:space="preserve">columns under </w:t>
      </w:r>
      <w:r w:rsidR="00C31AC3">
        <w:rPr>
          <w:rFonts w:ascii="Times New Roman" w:eastAsiaTheme="minorEastAsia" w:hAnsi="Times New Roman"/>
          <w:sz w:val="20"/>
          <w:lang w:eastAsia="en-GB"/>
        </w:rPr>
        <w:t>ACLR margin provides:</w:t>
      </w:r>
    </w:p>
    <w:p w14:paraId="5F810454" w14:textId="21728D71" w:rsidR="00C31AC3" w:rsidRDefault="00C31AC3" w:rsidP="00C31AC3">
      <w:pPr>
        <w:pStyle w:val="00BodyText"/>
        <w:numPr>
          <w:ilvl w:val="1"/>
          <w:numId w:val="46"/>
        </w:numPr>
        <w:spacing w:after="0"/>
        <w:rPr>
          <w:rFonts w:ascii="Times New Roman" w:eastAsiaTheme="minorEastAsia" w:hAnsi="Times New Roman"/>
          <w:sz w:val="20"/>
          <w:lang w:eastAsia="en-GB"/>
        </w:rPr>
      </w:pPr>
      <w:r>
        <w:rPr>
          <w:rFonts w:ascii="Times New Roman" w:eastAsiaTheme="minorEastAsia" w:hAnsi="Times New Roman"/>
          <w:sz w:val="20"/>
          <w:lang w:eastAsia="en-GB"/>
        </w:rPr>
        <w:t>The measured ACLR margin vs 31dB based on the initial UE CBW case for the lower and higher adjacent channel.</w:t>
      </w:r>
    </w:p>
    <w:p w14:paraId="66647466" w14:textId="7D1E4695" w:rsidR="00C31AC3" w:rsidRDefault="00C31AC3" w:rsidP="00C31AC3">
      <w:pPr>
        <w:pStyle w:val="00BodyText"/>
        <w:numPr>
          <w:ilvl w:val="1"/>
          <w:numId w:val="46"/>
        </w:numPr>
        <w:spacing w:after="0"/>
        <w:rPr>
          <w:rFonts w:ascii="Times New Roman" w:eastAsiaTheme="minorEastAsia" w:hAnsi="Times New Roman"/>
          <w:sz w:val="20"/>
          <w:lang w:eastAsia="en-GB"/>
        </w:rPr>
      </w:pPr>
      <w:r>
        <w:rPr>
          <w:rFonts w:ascii="Times New Roman" w:eastAsiaTheme="minorEastAsia" w:hAnsi="Times New Roman"/>
          <w:sz w:val="20"/>
          <w:lang w:eastAsia="en-GB"/>
        </w:rPr>
        <w:t xml:space="preserve">The measured ACLR margin vs 31dB based on </w:t>
      </w:r>
      <w:proofErr w:type="gramStart"/>
      <w:r>
        <w:rPr>
          <w:rFonts w:ascii="Times New Roman" w:eastAsiaTheme="minorEastAsia" w:hAnsi="Times New Roman"/>
          <w:sz w:val="20"/>
          <w:lang w:eastAsia="en-GB"/>
        </w:rPr>
        <w:t>ceil(</w:t>
      </w:r>
      <w:proofErr w:type="gramEnd"/>
      <w:r>
        <w:rPr>
          <w:rFonts w:ascii="Times New Roman" w:eastAsiaTheme="minorEastAsia" w:hAnsi="Times New Roman"/>
          <w:sz w:val="20"/>
          <w:lang w:eastAsia="en-GB"/>
        </w:rPr>
        <w:t>NRB/2)</w:t>
      </w:r>
      <w:r>
        <w:rPr>
          <w:rFonts w:ascii="Times New Roman" w:eastAsiaTheme="minorEastAsia" w:hAnsi="Times New Roman"/>
          <w:sz w:val="20"/>
          <w:lang w:eastAsia="en-GB"/>
        </w:rPr>
        <w:t xml:space="preserve"> </w:t>
      </w:r>
      <w:r>
        <w:rPr>
          <w:rFonts w:ascii="Times New Roman" w:eastAsiaTheme="minorEastAsia" w:hAnsi="Times New Roman"/>
          <w:sz w:val="20"/>
          <w:lang w:eastAsia="en-GB"/>
        </w:rPr>
        <w:t xml:space="preserve">extension with UE </w:t>
      </w:r>
      <w:r>
        <w:rPr>
          <w:rFonts w:ascii="Times New Roman" w:eastAsiaTheme="minorEastAsia" w:hAnsi="Times New Roman"/>
          <w:sz w:val="20"/>
          <w:lang w:eastAsia="en-GB"/>
        </w:rPr>
        <w:t xml:space="preserve">CBW </w:t>
      </w:r>
      <w:r>
        <w:rPr>
          <w:rFonts w:ascii="Times New Roman" w:eastAsiaTheme="minorEastAsia" w:hAnsi="Times New Roman"/>
          <w:sz w:val="20"/>
          <w:lang w:eastAsia="en-GB"/>
        </w:rPr>
        <w:t xml:space="preserve">MBW </w:t>
      </w:r>
      <w:r>
        <w:rPr>
          <w:rFonts w:ascii="Times New Roman" w:eastAsiaTheme="minorEastAsia" w:hAnsi="Times New Roman"/>
          <w:sz w:val="20"/>
          <w:lang w:eastAsia="en-GB"/>
        </w:rPr>
        <w:t>case for the lower and higher adjacent channel.</w:t>
      </w:r>
    </w:p>
    <w:p w14:paraId="4F5310AC" w14:textId="1C99A373" w:rsidR="00C31AC3" w:rsidRDefault="00C31AC3" w:rsidP="00C31AC3">
      <w:pPr>
        <w:pStyle w:val="00BodyText"/>
        <w:numPr>
          <w:ilvl w:val="1"/>
          <w:numId w:val="46"/>
        </w:numPr>
        <w:spacing w:after="0"/>
        <w:rPr>
          <w:rFonts w:ascii="Times New Roman" w:eastAsiaTheme="minorEastAsia" w:hAnsi="Times New Roman"/>
          <w:sz w:val="20"/>
          <w:lang w:eastAsia="en-GB"/>
        </w:rPr>
      </w:pPr>
      <w:r>
        <w:rPr>
          <w:rFonts w:ascii="Times New Roman" w:eastAsiaTheme="minorEastAsia" w:hAnsi="Times New Roman"/>
          <w:sz w:val="20"/>
          <w:lang w:eastAsia="en-GB"/>
        </w:rPr>
        <w:t xml:space="preserve">A negative value is a </w:t>
      </w:r>
      <w:proofErr w:type="gramStart"/>
      <w:r>
        <w:rPr>
          <w:rFonts w:ascii="Times New Roman" w:eastAsiaTheme="minorEastAsia" w:hAnsi="Times New Roman"/>
          <w:sz w:val="20"/>
          <w:lang w:eastAsia="en-GB"/>
        </w:rPr>
        <w:t>fail</w:t>
      </w:r>
      <w:proofErr w:type="gramEnd"/>
    </w:p>
    <w:p w14:paraId="18A531D3" w14:textId="77777777" w:rsidR="00C31AC3" w:rsidRDefault="00C31AC3" w:rsidP="00C31AC3">
      <w:pPr>
        <w:pStyle w:val="00BodyText"/>
        <w:numPr>
          <w:ilvl w:val="0"/>
          <w:numId w:val="46"/>
        </w:numPr>
        <w:spacing w:after="0"/>
        <w:rPr>
          <w:rFonts w:ascii="Times New Roman" w:eastAsiaTheme="minorEastAsia" w:hAnsi="Times New Roman"/>
          <w:sz w:val="20"/>
          <w:lang w:eastAsia="en-GB"/>
        </w:rPr>
      </w:pPr>
      <w:r>
        <w:rPr>
          <w:rFonts w:ascii="Times New Roman" w:eastAsiaTheme="minorEastAsia" w:hAnsi="Times New Roman"/>
          <w:sz w:val="20"/>
          <w:lang w:eastAsia="en-GB"/>
        </w:rPr>
        <w:t>The next four columns under ACLR margin provides:</w:t>
      </w:r>
    </w:p>
    <w:p w14:paraId="14753204" w14:textId="2EE874CB" w:rsidR="00C31AC3" w:rsidRDefault="00C31AC3" w:rsidP="00C31AC3">
      <w:pPr>
        <w:pStyle w:val="00BodyText"/>
        <w:numPr>
          <w:ilvl w:val="1"/>
          <w:numId w:val="46"/>
        </w:numPr>
        <w:spacing w:after="0"/>
        <w:rPr>
          <w:rFonts w:ascii="Times New Roman" w:eastAsiaTheme="minorEastAsia" w:hAnsi="Times New Roman"/>
          <w:sz w:val="20"/>
          <w:lang w:eastAsia="en-GB"/>
        </w:rPr>
      </w:pPr>
      <w:r>
        <w:rPr>
          <w:rFonts w:ascii="Times New Roman" w:eastAsiaTheme="minorEastAsia" w:hAnsi="Times New Roman"/>
          <w:sz w:val="20"/>
          <w:lang w:eastAsia="en-GB"/>
        </w:rPr>
        <w:t xml:space="preserve">The measured </w:t>
      </w:r>
      <w:r>
        <w:rPr>
          <w:rFonts w:ascii="Times New Roman" w:eastAsiaTheme="minorEastAsia" w:hAnsi="Times New Roman"/>
          <w:sz w:val="20"/>
          <w:lang w:eastAsia="en-GB"/>
        </w:rPr>
        <w:t>SEM</w:t>
      </w:r>
      <w:r>
        <w:rPr>
          <w:rFonts w:ascii="Times New Roman" w:eastAsiaTheme="minorEastAsia" w:hAnsi="Times New Roman"/>
          <w:sz w:val="20"/>
          <w:lang w:eastAsia="en-GB"/>
        </w:rPr>
        <w:t xml:space="preserve"> </w:t>
      </w:r>
      <w:r>
        <w:rPr>
          <w:rFonts w:ascii="Times New Roman" w:eastAsiaTheme="minorEastAsia" w:hAnsi="Times New Roman"/>
          <w:sz w:val="20"/>
          <w:lang w:eastAsia="en-GB"/>
        </w:rPr>
        <w:t xml:space="preserve">and SE worst case </w:t>
      </w:r>
      <w:r>
        <w:rPr>
          <w:rFonts w:ascii="Times New Roman" w:eastAsiaTheme="minorEastAsia" w:hAnsi="Times New Roman"/>
          <w:sz w:val="20"/>
          <w:lang w:eastAsia="en-GB"/>
        </w:rPr>
        <w:t xml:space="preserve">margin </w:t>
      </w:r>
      <w:r>
        <w:rPr>
          <w:rFonts w:ascii="Times New Roman" w:eastAsiaTheme="minorEastAsia" w:hAnsi="Times New Roman"/>
          <w:sz w:val="20"/>
          <w:lang w:eastAsia="en-GB"/>
        </w:rPr>
        <w:t>for</w:t>
      </w:r>
      <w:r>
        <w:rPr>
          <w:rFonts w:ascii="Times New Roman" w:eastAsiaTheme="minorEastAsia" w:hAnsi="Times New Roman"/>
          <w:sz w:val="20"/>
          <w:lang w:eastAsia="en-GB"/>
        </w:rPr>
        <w:t xml:space="preserve"> the initial UE CBW case for the lower and higher adjacent channel.</w:t>
      </w:r>
    </w:p>
    <w:p w14:paraId="6F0C7192" w14:textId="3A4899FA" w:rsidR="00C31AC3" w:rsidRDefault="00C31AC3" w:rsidP="00C31AC3">
      <w:pPr>
        <w:pStyle w:val="00BodyText"/>
        <w:numPr>
          <w:ilvl w:val="1"/>
          <w:numId w:val="46"/>
        </w:numPr>
        <w:spacing w:after="0"/>
        <w:rPr>
          <w:rFonts w:ascii="Times New Roman" w:eastAsiaTheme="minorEastAsia" w:hAnsi="Times New Roman"/>
          <w:sz w:val="20"/>
          <w:lang w:eastAsia="en-GB"/>
        </w:rPr>
      </w:pPr>
      <w:r>
        <w:rPr>
          <w:rFonts w:ascii="Times New Roman" w:eastAsiaTheme="minorEastAsia" w:hAnsi="Times New Roman"/>
          <w:sz w:val="20"/>
          <w:lang w:eastAsia="en-GB"/>
        </w:rPr>
        <w:t xml:space="preserve">The measured SEM and SE worst case margin for </w:t>
      </w:r>
      <w:proofErr w:type="gramStart"/>
      <w:r>
        <w:rPr>
          <w:rFonts w:ascii="Times New Roman" w:eastAsiaTheme="minorEastAsia" w:hAnsi="Times New Roman"/>
          <w:sz w:val="20"/>
          <w:lang w:eastAsia="en-GB"/>
        </w:rPr>
        <w:t>ceil(</w:t>
      </w:r>
      <w:proofErr w:type="gramEnd"/>
      <w:r>
        <w:rPr>
          <w:rFonts w:ascii="Times New Roman" w:eastAsiaTheme="minorEastAsia" w:hAnsi="Times New Roman"/>
          <w:sz w:val="20"/>
          <w:lang w:eastAsia="en-GB"/>
        </w:rPr>
        <w:t xml:space="preserve">NRB/2) extension </w:t>
      </w:r>
      <w:r>
        <w:rPr>
          <w:rFonts w:ascii="Times New Roman" w:eastAsiaTheme="minorEastAsia" w:hAnsi="Times New Roman"/>
          <w:sz w:val="20"/>
          <w:lang w:eastAsia="en-GB"/>
        </w:rPr>
        <w:t xml:space="preserve">with </w:t>
      </w:r>
      <w:r>
        <w:rPr>
          <w:rFonts w:ascii="Times New Roman" w:eastAsiaTheme="minorEastAsia" w:hAnsi="Times New Roman"/>
          <w:sz w:val="20"/>
          <w:lang w:eastAsia="en-GB"/>
        </w:rPr>
        <w:t>UE CBW MBW case for the lower and higher adjacent channel.</w:t>
      </w:r>
    </w:p>
    <w:p w14:paraId="0B8AA53F" w14:textId="4C988BAF" w:rsidR="00C31AC3" w:rsidRDefault="00C31AC3" w:rsidP="00C31AC3">
      <w:pPr>
        <w:pStyle w:val="00BodyText"/>
        <w:numPr>
          <w:ilvl w:val="1"/>
          <w:numId w:val="46"/>
        </w:numPr>
        <w:spacing w:after="0"/>
        <w:rPr>
          <w:rFonts w:ascii="Times New Roman" w:eastAsiaTheme="minorEastAsia" w:hAnsi="Times New Roman"/>
          <w:sz w:val="20"/>
          <w:lang w:eastAsia="en-GB"/>
        </w:rPr>
      </w:pPr>
      <w:r>
        <w:rPr>
          <w:rFonts w:ascii="Times New Roman" w:eastAsiaTheme="minorEastAsia" w:hAnsi="Times New Roman"/>
          <w:sz w:val="20"/>
          <w:lang w:eastAsia="en-GB"/>
        </w:rPr>
        <w:t>A n</w:t>
      </w:r>
      <w:r>
        <w:rPr>
          <w:rFonts w:ascii="Times New Roman" w:eastAsiaTheme="minorEastAsia" w:hAnsi="Times New Roman"/>
          <w:sz w:val="20"/>
          <w:lang w:eastAsia="en-GB"/>
        </w:rPr>
        <w:t xml:space="preserve">egative value is a </w:t>
      </w:r>
      <w:proofErr w:type="gramStart"/>
      <w:r>
        <w:rPr>
          <w:rFonts w:ascii="Times New Roman" w:eastAsiaTheme="minorEastAsia" w:hAnsi="Times New Roman"/>
          <w:sz w:val="20"/>
          <w:lang w:eastAsia="en-GB"/>
        </w:rPr>
        <w:t>fail</w:t>
      </w:r>
      <w:proofErr w:type="gramEnd"/>
      <w:r>
        <w:rPr>
          <w:rFonts w:ascii="Times New Roman" w:eastAsiaTheme="minorEastAsia" w:hAnsi="Times New Roman"/>
          <w:sz w:val="20"/>
          <w:lang w:eastAsia="en-GB"/>
        </w:rPr>
        <w:t>.</w:t>
      </w:r>
    </w:p>
    <w:p w14:paraId="1A19CFB1" w14:textId="77777777" w:rsidR="00265B20" w:rsidRPr="00C31AC3" w:rsidRDefault="00265B20" w:rsidP="00C31AC3">
      <w:pPr>
        <w:pStyle w:val="00BodyText"/>
        <w:spacing w:after="0"/>
        <w:ind w:left="1080"/>
        <w:rPr>
          <w:rFonts w:ascii="Times New Roman" w:eastAsiaTheme="minorEastAsia" w:hAnsi="Times New Roman"/>
          <w:sz w:val="20"/>
          <w:lang w:eastAsia="en-GB"/>
        </w:rPr>
      </w:pPr>
    </w:p>
    <w:tbl>
      <w:tblPr>
        <w:tblW w:w="8190" w:type="dxa"/>
        <w:jc w:val="center"/>
        <w:tblLook w:val="04A0" w:firstRow="1" w:lastRow="0" w:firstColumn="1" w:lastColumn="0" w:noHBand="0" w:noVBand="1"/>
      </w:tblPr>
      <w:tblGrid>
        <w:gridCol w:w="1620"/>
        <w:gridCol w:w="703"/>
        <w:gridCol w:w="643"/>
        <w:gridCol w:w="559"/>
        <w:gridCol w:w="625"/>
        <w:gridCol w:w="540"/>
        <w:gridCol w:w="536"/>
        <w:gridCol w:w="536"/>
        <w:gridCol w:w="625"/>
        <w:gridCol w:w="625"/>
        <w:gridCol w:w="625"/>
        <w:gridCol w:w="553"/>
      </w:tblGrid>
      <w:tr w:rsidR="00C31AC3" w:rsidRPr="00736D6C" w14:paraId="6A9DFF5C" w14:textId="77777777" w:rsidTr="00C31AC3">
        <w:trPr>
          <w:trHeight w:val="300"/>
          <w:jc w:val="center"/>
        </w:trPr>
        <w:tc>
          <w:tcPr>
            <w:tcW w:w="1620" w:type="dxa"/>
            <w:tcBorders>
              <w:top w:val="nil"/>
              <w:left w:val="nil"/>
              <w:bottom w:val="nil"/>
              <w:right w:val="nil"/>
            </w:tcBorders>
            <w:shd w:val="clear" w:color="auto" w:fill="auto"/>
            <w:noWrap/>
            <w:vAlign w:val="bottom"/>
            <w:hideMark/>
          </w:tcPr>
          <w:p w14:paraId="04BC4323" w14:textId="77777777" w:rsidR="00736D6C" w:rsidRPr="00736D6C" w:rsidRDefault="00736D6C" w:rsidP="00736D6C">
            <w:pPr>
              <w:overflowPunct/>
              <w:autoSpaceDE/>
              <w:autoSpaceDN/>
              <w:adjustRightInd/>
              <w:spacing w:after="0"/>
              <w:textAlignment w:val="auto"/>
              <w:rPr>
                <w:sz w:val="24"/>
                <w:szCs w:val="24"/>
                <w:lang w:val="en-US" w:eastAsia="en-US"/>
              </w:rPr>
            </w:pPr>
          </w:p>
        </w:tc>
        <w:tc>
          <w:tcPr>
            <w:tcW w:w="703" w:type="dxa"/>
            <w:tcBorders>
              <w:top w:val="nil"/>
              <w:left w:val="nil"/>
              <w:bottom w:val="nil"/>
              <w:right w:val="nil"/>
            </w:tcBorders>
            <w:shd w:val="clear" w:color="auto" w:fill="auto"/>
            <w:noWrap/>
            <w:vAlign w:val="bottom"/>
            <w:hideMark/>
          </w:tcPr>
          <w:p w14:paraId="45684140" w14:textId="77777777" w:rsidR="00736D6C" w:rsidRPr="00736D6C" w:rsidRDefault="00736D6C" w:rsidP="00736D6C">
            <w:pPr>
              <w:overflowPunct/>
              <w:autoSpaceDE/>
              <w:autoSpaceDN/>
              <w:adjustRightInd/>
              <w:spacing w:after="0"/>
              <w:textAlignment w:val="auto"/>
              <w:rPr>
                <w:lang w:val="en-US" w:eastAsia="en-US"/>
              </w:rPr>
            </w:pPr>
          </w:p>
        </w:tc>
        <w:tc>
          <w:tcPr>
            <w:tcW w:w="643" w:type="dxa"/>
            <w:tcBorders>
              <w:top w:val="nil"/>
              <w:left w:val="nil"/>
              <w:bottom w:val="nil"/>
              <w:right w:val="nil"/>
            </w:tcBorders>
            <w:shd w:val="clear" w:color="auto" w:fill="auto"/>
            <w:noWrap/>
            <w:vAlign w:val="bottom"/>
            <w:hideMark/>
          </w:tcPr>
          <w:p w14:paraId="4B9BFC2E" w14:textId="77777777" w:rsidR="00736D6C" w:rsidRPr="00736D6C" w:rsidRDefault="00736D6C" w:rsidP="00736D6C">
            <w:pPr>
              <w:overflowPunct/>
              <w:autoSpaceDE/>
              <w:autoSpaceDN/>
              <w:adjustRightInd/>
              <w:spacing w:after="0"/>
              <w:textAlignment w:val="auto"/>
              <w:rPr>
                <w:lang w:val="en-US" w:eastAsia="en-US"/>
              </w:rPr>
            </w:pPr>
          </w:p>
        </w:tc>
        <w:tc>
          <w:tcPr>
            <w:tcW w:w="559" w:type="dxa"/>
            <w:tcBorders>
              <w:top w:val="nil"/>
              <w:left w:val="nil"/>
              <w:bottom w:val="nil"/>
              <w:right w:val="nil"/>
            </w:tcBorders>
            <w:shd w:val="clear" w:color="auto" w:fill="auto"/>
            <w:noWrap/>
            <w:vAlign w:val="bottom"/>
            <w:hideMark/>
          </w:tcPr>
          <w:p w14:paraId="3A2658F0" w14:textId="77777777" w:rsidR="00736D6C" w:rsidRPr="00736D6C" w:rsidRDefault="00736D6C" w:rsidP="00736D6C">
            <w:pPr>
              <w:overflowPunct/>
              <w:autoSpaceDE/>
              <w:autoSpaceDN/>
              <w:adjustRightInd/>
              <w:spacing w:after="0"/>
              <w:textAlignment w:val="auto"/>
              <w:rPr>
                <w:lang w:val="en-US" w:eastAsia="en-US"/>
              </w:rPr>
            </w:pPr>
          </w:p>
        </w:tc>
        <w:tc>
          <w:tcPr>
            <w:tcW w:w="2237"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2EBC10" w14:textId="77777777" w:rsidR="00736D6C" w:rsidRPr="00736D6C" w:rsidRDefault="00736D6C" w:rsidP="00736D6C">
            <w:pPr>
              <w:overflowPunct/>
              <w:autoSpaceDE/>
              <w:autoSpaceDN/>
              <w:adjustRightInd/>
              <w:spacing w:after="0"/>
              <w:jc w:val="center"/>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ACLR margin</w:t>
            </w:r>
          </w:p>
        </w:tc>
        <w:tc>
          <w:tcPr>
            <w:tcW w:w="2428" w:type="dxa"/>
            <w:gridSpan w:val="4"/>
            <w:tcBorders>
              <w:top w:val="single" w:sz="4" w:space="0" w:color="auto"/>
              <w:left w:val="nil"/>
              <w:bottom w:val="single" w:sz="4" w:space="0" w:color="auto"/>
              <w:right w:val="single" w:sz="4" w:space="0" w:color="auto"/>
            </w:tcBorders>
            <w:shd w:val="clear" w:color="auto" w:fill="auto"/>
            <w:noWrap/>
            <w:vAlign w:val="bottom"/>
            <w:hideMark/>
          </w:tcPr>
          <w:p w14:paraId="57F19996" w14:textId="77777777" w:rsidR="00736D6C" w:rsidRPr="00736D6C" w:rsidRDefault="00736D6C" w:rsidP="00736D6C">
            <w:pPr>
              <w:overflowPunct/>
              <w:autoSpaceDE/>
              <w:autoSpaceDN/>
              <w:adjustRightInd/>
              <w:spacing w:after="0"/>
              <w:jc w:val="center"/>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SEM/SE margin</w:t>
            </w:r>
          </w:p>
        </w:tc>
      </w:tr>
      <w:tr w:rsidR="00736D6C" w:rsidRPr="00736D6C" w14:paraId="21978EF4" w14:textId="77777777" w:rsidTr="00C31AC3">
        <w:trPr>
          <w:trHeight w:val="300"/>
          <w:jc w:val="center"/>
        </w:trPr>
        <w:tc>
          <w:tcPr>
            <w:tcW w:w="1620" w:type="dxa"/>
            <w:tcBorders>
              <w:top w:val="nil"/>
              <w:left w:val="nil"/>
              <w:bottom w:val="nil"/>
              <w:right w:val="nil"/>
            </w:tcBorders>
            <w:shd w:val="clear" w:color="auto" w:fill="auto"/>
            <w:noWrap/>
            <w:vAlign w:val="bottom"/>
            <w:hideMark/>
          </w:tcPr>
          <w:p w14:paraId="4A5A4D87" w14:textId="77777777" w:rsidR="00736D6C" w:rsidRPr="00736D6C" w:rsidRDefault="00736D6C" w:rsidP="00736D6C">
            <w:pPr>
              <w:overflowPunct/>
              <w:autoSpaceDE/>
              <w:autoSpaceDN/>
              <w:adjustRightInd/>
              <w:spacing w:after="0"/>
              <w:jc w:val="center"/>
              <w:textAlignment w:val="auto"/>
              <w:rPr>
                <w:rFonts w:ascii="Calibri" w:hAnsi="Calibri" w:cs="Calibri"/>
                <w:color w:val="000000"/>
                <w:sz w:val="18"/>
                <w:szCs w:val="18"/>
                <w:lang w:val="en-US" w:eastAsia="en-US"/>
              </w:rPr>
            </w:pPr>
          </w:p>
        </w:tc>
        <w:tc>
          <w:tcPr>
            <w:tcW w:w="703" w:type="dxa"/>
            <w:tcBorders>
              <w:top w:val="nil"/>
              <w:left w:val="nil"/>
              <w:bottom w:val="nil"/>
              <w:right w:val="nil"/>
            </w:tcBorders>
            <w:shd w:val="clear" w:color="auto" w:fill="auto"/>
            <w:noWrap/>
            <w:vAlign w:val="bottom"/>
            <w:hideMark/>
          </w:tcPr>
          <w:p w14:paraId="055D1D79" w14:textId="77777777" w:rsidR="00736D6C" w:rsidRPr="00736D6C" w:rsidRDefault="00736D6C" w:rsidP="00736D6C">
            <w:pPr>
              <w:overflowPunct/>
              <w:autoSpaceDE/>
              <w:autoSpaceDN/>
              <w:adjustRightInd/>
              <w:spacing w:after="0"/>
              <w:textAlignment w:val="auto"/>
              <w:rPr>
                <w:lang w:val="en-US" w:eastAsia="en-US"/>
              </w:rPr>
            </w:pPr>
          </w:p>
        </w:tc>
        <w:tc>
          <w:tcPr>
            <w:tcW w:w="643" w:type="dxa"/>
            <w:tcBorders>
              <w:top w:val="nil"/>
              <w:left w:val="nil"/>
              <w:bottom w:val="nil"/>
              <w:right w:val="nil"/>
            </w:tcBorders>
            <w:shd w:val="clear" w:color="auto" w:fill="auto"/>
            <w:noWrap/>
            <w:vAlign w:val="bottom"/>
            <w:hideMark/>
          </w:tcPr>
          <w:p w14:paraId="60404DDF" w14:textId="77777777" w:rsidR="00736D6C" w:rsidRPr="00736D6C" w:rsidRDefault="00736D6C" w:rsidP="00736D6C">
            <w:pPr>
              <w:overflowPunct/>
              <w:autoSpaceDE/>
              <w:autoSpaceDN/>
              <w:adjustRightInd/>
              <w:spacing w:after="0"/>
              <w:textAlignment w:val="auto"/>
              <w:rPr>
                <w:lang w:val="en-US" w:eastAsia="en-US"/>
              </w:rPr>
            </w:pPr>
          </w:p>
        </w:tc>
        <w:tc>
          <w:tcPr>
            <w:tcW w:w="559" w:type="dxa"/>
            <w:tcBorders>
              <w:top w:val="nil"/>
              <w:left w:val="nil"/>
              <w:bottom w:val="nil"/>
              <w:right w:val="nil"/>
            </w:tcBorders>
            <w:shd w:val="clear" w:color="auto" w:fill="auto"/>
            <w:noWrap/>
            <w:vAlign w:val="bottom"/>
            <w:hideMark/>
          </w:tcPr>
          <w:p w14:paraId="1DF85694" w14:textId="77777777" w:rsidR="00736D6C" w:rsidRPr="00736D6C" w:rsidRDefault="00736D6C" w:rsidP="00736D6C">
            <w:pPr>
              <w:overflowPunct/>
              <w:autoSpaceDE/>
              <w:autoSpaceDN/>
              <w:adjustRightInd/>
              <w:spacing w:after="0"/>
              <w:textAlignment w:val="auto"/>
              <w:rPr>
                <w:lang w:val="en-US" w:eastAsia="en-US"/>
              </w:rPr>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1E3B30" w14:textId="77777777" w:rsidR="00736D6C" w:rsidRPr="00736D6C" w:rsidRDefault="00736D6C" w:rsidP="00736D6C">
            <w:pPr>
              <w:overflowPunct/>
              <w:autoSpaceDE/>
              <w:autoSpaceDN/>
              <w:adjustRightInd/>
              <w:spacing w:after="0"/>
              <w:jc w:val="center"/>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UE CBW</w:t>
            </w:r>
          </w:p>
        </w:tc>
        <w:tc>
          <w:tcPr>
            <w:tcW w:w="1072" w:type="dxa"/>
            <w:gridSpan w:val="2"/>
            <w:tcBorders>
              <w:top w:val="single" w:sz="4" w:space="0" w:color="auto"/>
              <w:left w:val="nil"/>
              <w:bottom w:val="single" w:sz="4" w:space="0" w:color="auto"/>
              <w:right w:val="single" w:sz="4" w:space="0" w:color="auto"/>
            </w:tcBorders>
            <w:shd w:val="clear" w:color="auto" w:fill="auto"/>
            <w:noWrap/>
            <w:vAlign w:val="bottom"/>
            <w:hideMark/>
          </w:tcPr>
          <w:p w14:paraId="31D18EF5" w14:textId="77777777" w:rsidR="00736D6C" w:rsidRPr="00736D6C" w:rsidRDefault="00736D6C" w:rsidP="00736D6C">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736D6C">
              <w:rPr>
                <w:rFonts w:ascii="Calibri" w:hAnsi="Calibri" w:cs="Calibri"/>
                <w:color w:val="000000"/>
                <w:sz w:val="18"/>
                <w:szCs w:val="18"/>
                <w:lang w:val="en-US" w:eastAsia="en-US"/>
              </w:rPr>
              <w:t>ExtRB</w:t>
            </w:r>
            <w:proofErr w:type="spellEnd"/>
          </w:p>
        </w:tc>
        <w:tc>
          <w:tcPr>
            <w:tcW w:w="12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4F6623C5" w14:textId="77777777" w:rsidR="00736D6C" w:rsidRPr="00736D6C" w:rsidRDefault="00736D6C" w:rsidP="00736D6C">
            <w:pPr>
              <w:overflowPunct/>
              <w:autoSpaceDE/>
              <w:autoSpaceDN/>
              <w:adjustRightInd/>
              <w:spacing w:after="0"/>
              <w:jc w:val="center"/>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UE CBW</w:t>
            </w:r>
          </w:p>
        </w:tc>
        <w:tc>
          <w:tcPr>
            <w:tcW w:w="1178" w:type="dxa"/>
            <w:gridSpan w:val="2"/>
            <w:tcBorders>
              <w:top w:val="single" w:sz="4" w:space="0" w:color="auto"/>
              <w:left w:val="nil"/>
              <w:bottom w:val="single" w:sz="4" w:space="0" w:color="auto"/>
              <w:right w:val="single" w:sz="4" w:space="0" w:color="auto"/>
            </w:tcBorders>
            <w:shd w:val="clear" w:color="auto" w:fill="auto"/>
            <w:noWrap/>
            <w:vAlign w:val="bottom"/>
            <w:hideMark/>
          </w:tcPr>
          <w:p w14:paraId="1C772372" w14:textId="77777777" w:rsidR="00736D6C" w:rsidRPr="00736D6C" w:rsidRDefault="00736D6C" w:rsidP="00736D6C">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736D6C">
              <w:rPr>
                <w:rFonts w:ascii="Calibri" w:hAnsi="Calibri" w:cs="Calibri"/>
                <w:color w:val="000000"/>
                <w:sz w:val="18"/>
                <w:szCs w:val="18"/>
                <w:lang w:val="en-US" w:eastAsia="en-US"/>
              </w:rPr>
              <w:t>ExtRB</w:t>
            </w:r>
            <w:proofErr w:type="spellEnd"/>
          </w:p>
        </w:tc>
      </w:tr>
      <w:tr w:rsidR="00C31AC3" w:rsidRPr="00736D6C" w14:paraId="3479FFC6" w14:textId="77777777" w:rsidTr="00C31AC3">
        <w:trPr>
          <w:trHeight w:val="300"/>
          <w:jc w:val="center"/>
        </w:trPr>
        <w:tc>
          <w:tcPr>
            <w:tcW w:w="1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53E581" w14:textId="77777777" w:rsidR="00736D6C" w:rsidRPr="00736D6C" w:rsidRDefault="00736D6C" w:rsidP="00736D6C">
            <w:pPr>
              <w:overflowPunct/>
              <w:autoSpaceDE/>
              <w:autoSpaceDN/>
              <w:adjustRightInd/>
              <w:spacing w:after="0"/>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Allocation</w:t>
            </w:r>
          </w:p>
        </w:tc>
        <w:tc>
          <w:tcPr>
            <w:tcW w:w="703" w:type="dxa"/>
            <w:tcBorders>
              <w:top w:val="single" w:sz="4" w:space="0" w:color="auto"/>
              <w:left w:val="nil"/>
              <w:bottom w:val="single" w:sz="4" w:space="0" w:color="auto"/>
              <w:right w:val="single" w:sz="4" w:space="0" w:color="auto"/>
            </w:tcBorders>
            <w:shd w:val="clear" w:color="auto" w:fill="auto"/>
            <w:noWrap/>
            <w:vAlign w:val="bottom"/>
            <w:hideMark/>
          </w:tcPr>
          <w:p w14:paraId="03986EEB" w14:textId="77777777" w:rsidR="00736D6C" w:rsidRPr="00736D6C" w:rsidRDefault="00736D6C" w:rsidP="00736D6C">
            <w:pPr>
              <w:overflowPunct/>
              <w:autoSpaceDE/>
              <w:autoSpaceDN/>
              <w:adjustRightInd/>
              <w:spacing w:after="0"/>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coding</w:t>
            </w:r>
          </w:p>
        </w:tc>
        <w:tc>
          <w:tcPr>
            <w:tcW w:w="643" w:type="dxa"/>
            <w:tcBorders>
              <w:top w:val="single" w:sz="4" w:space="0" w:color="auto"/>
              <w:left w:val="nil"/>
              <w:bottom w:val="single" w:sz="4" w:space="0" w:color="auto"/>
              <w:right w:val="single" w:sz="4" w:space="0" w:color="auto"/>
            </w:tcBorders>
            <w:shd w:val="clear" w:color="auto" w:fill="auto"/>
            <w:noWrap/>
            <w:vAlign w:val="bottom"/>
            <w:hideMark/>
          </w:tcPr>
          <w:p w14:paraId="09E3D3D0" w14:textId="77777777" w:rsidR="00736D6C" w:rsidRPr="00736D6C" w:rsidRDefault="00736D6C" w:rsidP="00736D6C">
            <w:pPr>
              <w:overflowPunct/>
              <w:autoSpaceDE/>
              <w:autoSpaceDN/>
              <w:adjustRightInd/>
              <w:spacing w:after="0"/>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type</w:t>
            </w:r>
          </w:p>
        </w:tc>
        <w:tc>
          <w:tcPr>
            <w:tcW w:w="559" w:type="dxa"/>
            <w:tcBorders>
              <w:top w:val="single" w:sz="4" w:space="0" w:color="auto"/>
              <w:left w:val="nil"/>
              <w:bottom w:val="single" w:sz="4" w:space="0" w:color="auto"/>
              <w:right w:val="single" w:sz="4" w:space="0" w:color="auto"/>
            </w:tcBorders>
            <w:shd w:val="clear" w:color="auto" w:fill="auto"/>
            <w:noWrap/>
            <w:vAlign w:val="bottom"/>
            <w:hideMark/>
          </w:tcPr>
          <w:p w14:paraId="04418D03" w14:textId="77777777" w:rsidR="00736D6C" w:rsidRPr="00736D6C" w:rsidRDefault="00736D6C" w:rsidP="00736D6C">
            <w:pPr>
              <w:overflowPunct/>
              <w:autoSpaceDE/>
              <w:autoSpaceDN/>
              <w:adjustRightInd/>
              <w:spacing w:after="0"/>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Pout</w:t>
            </w:r>
          </w:p>
        </w:tc>
        <w:tc>
          <w:tcPr>
            <w:tcW w:w="625" w:type="dxa"/>
            <w:tcBorders>
              <w:top w:val="nil"/>
              <w:left w:val="nil"/>
              <w:bottom w:val="single" w:sz="4" w:space="0" w:color="auto"/>
              <w:right w:val="single" w:sz="4" w:space="0" w:color="auto"/>
            </w:tcBorders>
            <w:shd w:val="clear" w:color="auto" w:fill="auto"/>
            <w:noWrap/>
            <w:vAlign w:val="bottom"/>
            <w:hideMark/>
          </w:tcPr>
          <w:p w14:paraId="61CB5347" w14:textId="77777777" w:rsidR="00736D6C" w:rsidRPr="00736D6C" w:rsidRDefault="00736D6C" w:rsidP="00736D6C">
            <w:pPr>
              <w:overflowPunct/>
              <w:autoSpaceDE/>
              <w:autoSpaceDN/>
              <w:adjustRightInd/>
              <w:spacing w:after="0"/>
              <w:jc w:val="center"/>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low</w:t>
            </w:r>
          </w:p>
        </w:tc>
        <w:tc>
          <w:tcPr>
            <w:tcW w:w="540" w:type="dxa"/>
            <w:tcBorders>
              <w:top w:val="nil"/>
              <w:left w:val="nil"/>
              <w:bottom w:val="single" w:sz="4" w:space="0" w:color="auto"/>
              <w:right w:val="single" w:sz="4" w:space="0" w:color="auto"/>
            </w:tcBorders>
            <w:shd w:val="clear" w:color="auto" w:fill="auto"/>
            <w:noWrap/>
            <w:vAlign w:val="bottom"/>
            <w:hideMark/>
          </w:tcPr>
          <w:p w14:paraId="5046A48E" w14:textId="77777777" w:rsidR="00736D6C" w:rsidRPr="00736D6C" w:rsidRDefault="00736D6C" w:rsidP="00736D6C">
            <w:pPr>
              <w:overflowPunct/>
              <w:autoSpaceDE/>
              <w:autoSpaceDN/>
              <w:adjustRightInd/>
              <w:spacing w:after="0"/>
              <w:jc w:val="center"/>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high</w:t>
            </w:r>
          </w:p>
        </w:tc>
        <w:tc>
          <w:tcPr>
            <w:tcW w:w="536" w:type="dxa"/>
            <w:tcBorders>
              <w:top w:val="nil"/>
              <w:left w:val="nil"/>
              <w:bottom w:val="single" w:sz="4" w:space="0" w:color="auto"/>
              <w:right w:val="single" w:sz="4" w:space="0" w:color="auto"/>
            </w:tcBorders>
            <w:shd w:val="clear" w:color="auto" w:fill="auto"/>
            <w:noWrap/>
            <w:vAlign w:val="bottom"/>
            <w:hideMark/>
          </w:tcPr>
          <w:p w14:paraId="4123CCA7" w14:textId="77777777" w:rsidR="00736D6C" w:rsidRPr="00736D6C" w:rsidRDefault="00736D6C" w:rsidP="00736D6C">
            <w:pPr>
              <w:overflowPunct/>
              <w:autoSpaceDE/>
              <w:autoSpaceDN/>
              <w:adjustRightInd/>
              <w:spacing w:after="0"/>
              <w:jc w:val="center"/>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low</w:t>
            </w:r>
          </w:p>
        </w:tc>
        <w:tc>
          <w:tcPr>
            <w:tcW w:w="536" w:type="dxa"/>
            <w:tcBorders>
              <w:top w:val="nil"/>
              <w:left w:val="nil"/>
              <w:bottom w:val="single" w:sz="4" w:space="0" w:color="auto"/>
              <w:right w:val="single" w:sz="4" w:space="0" w:color="auto"/>
            </w:tcBorders>
            <w:shd w:val="clear" w:color="auto" w:fill="auto"/>
            <w:noWrap/>
            <w:vAlign w:val="bottom"/>
            <w:hideMark/>
          </w:tcPr>
          <w:p w14:paraId="156F002E" w14:textId="77777777" w:rsidR="00736D6C" w:rsidRPr="00736D6C" w:rsidRDefault="00736D6C" w:rsidP="00736D6C">
            <w:pPr>
              <w:overflowPunct/>
              <w:autoSpaceDE/>
              <w:autoSpaceDN/>
              <w:adjustRightInd/>
              <w:spacing w:after="0"/>
              <w:jc w:val="center"/>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high</w:t>
            </w:r>
          </w:p>
        </w:tc>
        <w:tc>
          <w:tcPr>
            <w:tcW w:w="625" w:type="dxa"/>
            <w:tcBorders>
              <w:top w:val="nil"/>
              <w:left w:val="nil"/>
              <w:bottom w:val="single" w:sz="4" w:space="0" w:color="auto"/>
              <w:right w:val="single" w:sz="4" w:space="0" w:color="auto"/>
            </w:tcBorders>
            <w:shd w:val="clear" w:color="auto" w:fill="auto"/>
            <w:noWrap/>
            <w:vAlign w:val="bottom"/>
            <w:hideMark/>
          </w:tcPr>
          <w:p w14:paraId="5E66B28F" w14:textId="77777777" w:rsidR="00736D6C" w:rsidRPr="00736D6C" w:rsidRDefault="00736D6C" w:rsidP="00736D6C">
            <w:pPr>
              <w:overflowPunct/>
              <w:autoSpaceDE/>
              <w:autoSpaceDN/>
              <w:adjustRightInd/>
              <w:spacing w:after="0"/>
              <w:jc w:val="center"/>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low</w:t>
            </w:r>
          </w:p>
        </w:tc>
        <w:tc>
          <w:tcPr>
            <w:tcW w:w="625" w:type="dxa"/>
            <w:tcBorders>
              <w:top w:val="nil"/>
              <w:left w:val="nil"/>
              <w:bottom w:val="single" w:sz="4" w:space="0" w:color="auto"/>
              <w:right w:val="single" w:sz="4" w:space="0" w:color="auto"/>
            </w:tcBorders>
            <w:shd w:val="clear" w:color="auto" w:fill="auto"/>
            <w:noWrap/>
            <w:vAlign w:val="bottom"/>
            <w:hideMark/>
          </w:tcPr>
          <w:p w14:paraId="24DD0D97" w14:textId="77777777" w:rsidR="00736D6C" w:rsidRPr="00736D6C" w:rsidRDefault="00736D6C" w:rsidP="00736D6C">
            <w:pPr>
              <w:overflowPunct/>
              <w:autoSpaceDE/>
              <w:autoSpaceDN/>
              <w:adjustRightInd/>
              <w:spacing w:after="0"/>
              <w:jc w:val="center"/>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high</w:t>
            </w:r>
          </w:p>
        </w:tc>
        <w:tc>
          <w:tcPr>
            <w:tcW w:w="625" w:type="dxa"/>
            <w:tcBorders>
              <w:top w:val="nil"/>
              <w:left w:val="nil"/>
              <w:bottom w:val="single" w:sz="4" w:space="0" w:color="auto"/>
              <w:right w:val="single" w:sz="4" w:space="0" w:color="auto"/>
            </w:tcBorders>
            <w:shd w:val="clear" w:color="auto" w:fill="auto"/>
            <w:noWrap/>
            <w:vAlign w:val="bottom"/>
            <w:hideMark/>
          </w:tcPr>
          <w:p w14:paraId="4F5F1413" w14:textId="77777777" w:rsidR="00736D6C" w:rsidRPr="00736D6C" w:rsidRDefault="00736D6C" w:rsidP="00736D6C">
            <w:pPr>
              <w:overflowPunct/>
              <w:autoSpaceDE/>
              <w:autoSpaceDN/>
              <w:adjustRightInd/>
              <w:spacing w:after="0"/>
              <w:jc w:val="center"/>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low</w:t>
            </w:r>
          </w:p>
        </w:tc>
        <w:tc>
          <w:tcPr>
            <w:tcW w:w="553" w:type="dxa"/>
            <w:tcBorders>
              <w:top w:val="nil"/>
              <w:left w:val="nil"/>
              <w:bottom w:val="single" w:sz="4" w:space="0" w:color="auto"/>
              <w:right w:val="single" w:sz="4" w:space="0" w:color="auto"/>
            </w:tcBorders>
            <w:shd w:val="clear" w:color="auto" w:fill="auto"/>
            <w:noWrap/>
            <w:vAlign w:val="bottom"/>
            <w:hideMark/>
          </w:tcPr>
          <w:p w14:paraId="0D91FBEA" w14:textId="77777777" w:rsidR="00736D6C" w:rsidRPr="00736D6C" w:rsidRDefault="00736D6C" w:rsidP="00736D6C">
            <w:pPr>
              <w:overflowPunct/>
              <w:autoSpaceDE/>
              <w:autoSpaceDN/>
              <w:adjustRightInd/>
              <w:spacing w:after="0"/>
              <w:jc w:val="center"/>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high</w:t>
            </w:r>
          </w:p>
        </w:tc>
      </w:tr>
      <w:tr w:rsidR="00C31AC3" w:rsidRPr="00736D6C" w14:paraId="533E7B54" w14:textId="77777777" w:rsidTr="00C31AC3">
        <w:trPr>
          <w:trHeight w:val="70"/>
          <w:jc w:val="center"/>
        </w:trPr>
        <w:tc>
          <w:tcPr>
            <w:tcW w:w="1620" w:type="dxa"/>
            <w:tcBorders>
              <w:top w:val="nil"/>
              <w:left w:val="single" w:sz="4" w:space="0" w:color="auto"/>
              <w:bottom w:val="single" w:sz="4" w:space="0" w:color="auto"/>
              <w:right w:val="single" w:sz="4" w:space="0" w:color="auto"/>
            </w:tcBorders>
            <w:shd w:val="clear" w:color="000000" w:fill="FFFF00"/>
            <w:noWrap/>
            <w:vAlign w:val="bottom"/>
            <w:hideMark/>
          </w:tcPr>
          <w:p w14:paraId="47561882" w14:textId="77777777" w:rsidR="00C31AC3" w:rsidRPr="00736D6C" w:rsidRDefault="00C31AC3" w:rsidP="00C31AC3">
            <w:pPr>
              <w:overflowPunct/>
              <w:autoSpaceDE/>
              <w:autoSpaceDN/>
              <w:adjustRightInd/>
              <w:spacing w:after="0"/>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20M2C001RB000</w:t>
            </w:r>
          </w:p>
        </w:tc>
        <w:tc>
          <w:tcPr>
            <w:tcW w:w="703"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4CF71B4D" w14:textId="77777777" w:rsidR="00C31AC3" w:rsidRPr="00736D6C" w:rsidRDefault="00C31AC3" w:rsidP="00C31AC3">
            <w:pPr>
              <w:overflowPunct/>
              <w:autoSpaceDE/>
              <w:autoSpaceDN/>
              <w:adjustRightInd/>
              <w:spacing w:after="0"/>
              <w:jc w:val="center"/>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CP-OFDM</w:t>
            </w:r>
          </w:p>
        </w:tc>
        <w:tc>
          <w:tcPr>
            <w:tcW w:w="643" w:type="dxa"/>
            <w:tcBorders>
              <w:top w:val="nil"/>
              <w:left w:val="nil"/>
              <w:bottom w:val="single" w:sz="4" w:space="0" w:color="auto"/>
              <w:right w:val="single" w:sz="4" w:space="0" w:color="auto"/>
            </w:tcBorders>
            <w:shd w:val="clear" w:color="auto" w:fill="auto"/>
            <w:noWrap/>
            <w:vAlign w:val="bottom"/>
            <w:hideMark/>
          </w:tcPr>
          <w:p w14:paraId="3EDF3E47" w14:textId="77777777" w:rsidR="00C31AC3" w:rsidRPr="00736D6C" w:rsidRDefault="00C31AC3" w:rsidP="00C31AC3">
            <w:pPr>
              <w:overflowPunct/>
              <w:autoSpaceDE/>
              <w:autoSpaceDN/>
              <w:adjustRightInd/>
              <w:spacing w:after="0"/>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Edge</w:t>
            </w:r>
          </w:p>
        </w:tc>
        <w:tc>
          <w:tcPr>
            <w:tcW w:w="559" w:type="dxa"/>
            <w:tcBorders>
              <w:top w:val="nil"/>
              <w:left w:val="nil"/>
              <w:bottom w:val="single" w:sz="4" w:space="0" w:color="auto"/>
              <w:right w:val="single" w:sz="4" w:space="0" w:color="auto"/>
            </w:tcBorders>
            <w:shd w:val="clear" w:color="auto" w:fill="auto"/>
            <w:noWrap/>
            <w:vAlign w:val="bottom"/>
            <w:hideMark/>
          </w:tcPr>
          <w:p w14:paraId="1564F373"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24.5</w:t>
            </w:r>
          </w:p>
        </w:tc>
        <w:tc>
          <w:tcPr>
            <w:tcW w:w="625" w:type="dxa"/>
            <w:tcBorders>
              <w:top w:val="nil"/>
              <w:left w:val="nil"/>
              <w:bottom w:val="single" w:sz="4" w:space="0" w:color="auto"/>
              <w:right w:val="single" w:sz="4" w:space="0" w:color="auto"/>
            </w:tcBorders>
            <w:shd w:val="clear" w:color="000000" w:fill="92D050"/>
            <w:noWrap/>
            <w:vAlign w:val="bottom"/>
            <w:hideMark/>
          </w:tcPr>
          <w:p w14:paraId="5CDC4B75"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8.4</w:t>
            </w:r>
          </w:p>
        </w:tc>
        <w:tc>
          <w:tcPr>
            <w:tcW w:w="540" w:type="dxa"/>
            <w:tcBorders>
              <w:top w:val="nil"/>
              <w:left w:val="nil"/>
              <w:bottom w:val="single" w:sz="4" w:space="0" w:color="auto"/>
              <w:right w:val="single" w:sz="4" w:space="0" w:color="auto"/>
            </w:tcBorders>
            <w:shd w:val="clear" w:color="000000" w:fill="92D050"/>
            <w:noWrap/>
            <w:vAlign w:val="bottom"/>
            <w:hideMark/>
          </w:tcPr>
          <w:p w14:paraId="0A47A8B1"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27.8</w:t>
            </w:r>
          </w:p>
        </w:tc>
        <w:tc>
          <w:tcPr>
            <w:tcW w:w="536" w:type="dxa"/>
            <w:tcBorders>
              <w:top w:val="nil"/>
              <w:left w:val="nil"/>
              <w:bottom w:val="single" w:sz="4" w:space="0" w:color="auto"/>
              <w:right w:val="single" w:sz="4" w:space="0" w:color="auto"/>
            </w:tcBorders>
            <w:shd w:val="clear" w:color="000000" w:fill="00B050"/>
            <w:noWrap/>
            <w:vAlign w:val="bottom"/>
            <w:hideMark/>
          </w:tcPr>
          <w:p w14:paraId="7A1F31F7"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9.9</w:t>
            </w:r>
          </w:p>
        </w:tc>
        <w:tc>
          <w:tcPr>
            <w:tcW w:w="536" w:type="dxa"/>
            <w:tcBorders>
              <w:top w:val="nil"/>
              <w:left w:val="nil"/>
              <w:bottom w:val="single" w:sz="4" w:space="0" w:color="auto"/>
              <w:right w:val="single" w:sz="4" w:space="0" w:color="auto"/>
            </w:tcBorders>
            <w:shd w:val="clear" w:color="000000" w:fill="00B050"/>
            <w:noWrap/>
            <w:vAlign w:val="bottom"/>
            <w:hideMark/>
          </w:tcPr>
          <w:p w14:paraId="19CCBC41"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28.7</w:t>
            </w:r>
          </w:p>
        </w:tc>
        <w:tc>
          <w:tcPr>
            <w:tcW w:w="625" w:type="dxa"/>
            <w:tcBorders>
              <w:top w:val="nil"/>
              <w:left w:val="nil"/>
              <w:bottom w:val="single" w:sz="4" w:space="0" w:color="auto"/>
              <w:right w:val="single" w:sz="4" w:space="0" w:color="auto"/>
            </w:tcBorders>
            <w:shd w:val="clear" w:color="000000" w:fill="92D050"/>
            <w:noWrap/>
            <w:vAlign w:val="bottom"/>
            <w:hideMark/>
          </w:tcPr>
          <w:p w14:paraId="5E5ED643" w14:textId="4FD9FB30"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3.1</w:t>
            </w:r>
          </w:p>
        </w:tc>
        <w:tc>
          <w:tcPr>
            <w:tcW w:w="625" w:type="dxa"/>
            <w:tcBorders>
              <w:top w:val="nil"/>
              <w:left w:val="nil"/>
              <w:bottom w:val="single" w:sz="4" w:space="0" w:color="auto"/>
              <w:right w:val="single" w:sz="4" w:space="0" w:color="auto"/>
            </w:tcBorders>
            <w:shd w:val="clear" w:color="000000" w:fill="92D050"/>
            <w:noWrap/>
            <w:vAlign w:val="bottom"/>
            <w:hideMark/>
          </w:tcPr>
          <w:p w14:paraId="774EC192" w14:textId="539B6341"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21.0</w:t>
            </w:r>
          </w:p>
        </w:tc>
        <w:tc>
          <w:tcPr>
            <w:tcW w:w="625" w:type="dxa"/>
            <w:tcBorders>
              <w:top w:val="nil"/>
              <w:left w:val="nil"/>
              <w:bottom w:val="single" w:sz="4" w:space="0" w:color="auto"/>
              <w:right w:val="single" w:sz="4" w:space="0" w:color="auto"/>
            </w:tcBorders>
            <w:shd w:val="clear" w:color="000000" w:fill="00B050"/>
            <w:noWrap/>
            <w:vAlign w:val="bottom"/>
            <w:hideMark/>
          </w:tcPr>
          <w:p w14:paraId="2364FA33" w14:textId="06564F82"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11.4</w:t>
            </w:r>
          </w:p>
        </w:tc>
        <w:tc>
          <w:tcPr>
            <w:tcW w:w="553" w:type="dxa"/>
            <w:tcBorders>
              <w:top w:val="nil"/>
              <w:left w:val="nil"/>
              <w:bottom w:val="single" w:sz="4" w:space="0" w:color="auto"/>
              <w:right w:val="single" w:sz="4" w:space="0" w:color="auto"/>
            </w:tcBorders>
            <w:shd w:val="clear" w:color="000000" w:fill="00B050"/>
            <w:noWrap/>
            <w:vAlign w:val="bottom"/>
            <w:hideMark/>
          </w:tcPr>
          <w:p w14:paraId="73DF2940" w14:textId="5E1FDAF1"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21.0</w:t>
            </w:r>
          </w:p>
        </w:tc>
      </w:tr>
      <w:tr w:rsidR="00C31AC3" w:rsidRPr="00736D6C" w14:paraId="140B4B0E" w14:textId="77777777" w:rsidTr="00C31AC3">
        <w:trPr>
          <w:trHeight w:val="70"/>
          <w:jc w:val="center"/>
        </w:trPr>
        <w:tc>
          <w:tcPr>
            <w:tcW w:w="1620" w:type="dxa"/>
            <w:tcBorders>
              <w:top w:val="nil"/>
              <w:left w:val="single" w:sz="4" w:space="0" w:color="auto"/>
              <w:bottom w:val="single" w:sz="4" w:space="0" w:color="auto"/>
              <w:right w:val="single" w:sz="4" w:space="0" w:color="auto"/>
            </w:tcBorders>
            <w:shd w:val="clear" w:color="000000" w:fill="92D050"/>
            <w:noWrap/>
            <w:vAlign w:val="bottom"/>
            <w:hideMark/>
          </w:tcPr>
          <w:p w14:paraId="1F0E21C1" w14:textId="77777777" w:rsidR="00C31AC3" w:rsidRPr="00736D6C" w:rsidRDefault="00C31AC3" w:rsidP="00C31AC3">
            <w:pPr>
              <w:overflowPunct/>
              <w:autoSpaceDE/>
              <w:autoSpaceDN/>
              <w:adjustRightInd/>
              <w:spacing w:after="0"/>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20M2C001RB001</w:t>
            </w:r>
          </w:p>
        </w:tc>
        <w:tc>
          <w:tcPr>
            <w:tcW w:w="703" w:type="dxa"/>
            <w:vMerge/>
            <w:tcBorders>
              <w:top w:val="nil"/>
              <w:left w:val="single" w:sz="4" w:space="0" w:color="auto"/>
              <w:bottom w:val="single" w:sz="4" w:space="0" w:color="auto"/>
              <w:right w:val="single" w:sz="4" w:space="0" w:color="auto"/>
            </w:tcBorders>
            <w:vAlign w:val="center"/>
            <w:hideMark/>
          </w:tcPr>
          <w:p w14:paraId="7C31B397" w14:textId="77777777" w:rsidR="00C31AC3" w:rsidRPr="00736D6C" w:rsidRDefault="00C31AC3" w:rsidP="00C31AC3">
            <w:pPr>
              <w:overflowPunct/>
              <w:autoSpaceDE/>
              <w:autoSpaceDN/>
              <w:adjustRightInd/>
              <w:spacing w:after="0"/>
              <w:textAlignment w:val="auto"/>
              <w:rPr>
                <w:rFonts w:ascii="Calibri" w:hAnsi="Calibri" w:cs="Calibri"/>
                <w:color w:val="000000"/>
                <w:sz w:val="18"/>
                <w:szCs w:val="18"/>
                <w:lang w:val="en-US" w:eastAsia="en-US"/>
              </w:rPr>
            </w:pPr>
          </w:p>
        </w:tc>
        <w:tc>
          <w:tcPr>
            <w:tcW w:w="643" w:type="dxa"/>
            <w:tcBorders>
              <w:top w:val="nil"/>
              <w:left w:val="nil"/>
              <w:bottom w:val="single" w:sz="4" w:space="0" w:color="auto"/>
              <w:right w:val="single" w:sz="4" w:space="0" w:color="auto"/>
            </w:tcBorders>
            <w:shd w:val="clear" w:color="auto" w:fill="auto"/>
            <w:noWrap/>
            <w:vAlign w:val="bottom"/>
            <w:hideMark/>
          </w:tcPr>
          <w:p w14:paraId="19C396D4" w14:textId="77777777" w:rsidR="00C31AC3" w:rsidRPr="00736D6C" w:rsidRDefault="00C31AC3" w:rsidP="00C31AC3">
            <w:pPr>
              <w:overflowPunct/>
              <w:autoSpaceDE/>
              <w:autoSpaceDN/>
              <w:adjustRightInd/>
              <w:spacing w:after="0"/>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Inner</w:t>
            </w:r>
          </w:p>
        </w:tc>
        <w:tc>
          <w:tcPr>
            <w:tcW w:w="559" w:type="dxa"/>
            <w:tcBorders>
              <w:top w:val="nil"/>
              <w:left w:val="nil"/>
              <w:bottom w:val="single" w:sz="4" w:space="0" w:color="auto"/>
              <w:right w:val="single" w:sz="4" w:space="0" w:color="auto"/>
            </w:tcBorders>
            <w:shd w:val="clear" w:color="auto" w:fill="auto"/>
            <w:noWrap/>
            <w:vAlign w:val="bottom"/>
            <w:hideMark/>
          </w:tcPr>
          <w:p w14:paraId="7F7DF6F0"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24.5</w:t>
            </w:r>
          </w:p>
        </w:tc>
        <w:tc>
          <w:tcPr>
            <w:tcW w:w="625" w:type="dxa"/>
            <w:tcBorders>
              <w:top w:val="nil"/>
              <w:left w:val="nil"/>
              <w:bottom w:val="single" w:sz="4" w:space="0" w:color="auto"/>
              <w:right w:val="single" w:sz="4" w:space="0" w:color="auto"/>
            </w:tcBorders>
            <w:shd w:val="clear" w:color="000000" w:fill="92D050"/>
            <w:noWrap/>
            <w:vAlign w:val="bottom"/>
            <w:hideMark/>
          </w:tcPr>
          <w:p w14:paraId="1E7750AC"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8.3</w:t>
            </w:r>
          </w:p>
        </w:tc>
        <w:tc>
          <w:tcPr>
            <w:tcW w:w="540" w:type="dxa"/>
            <w:tcBorders>
              <w:top w:val="nil"/>
              <w:left w:val="nil"/>
              <w:bottom w:val="single" w:sz="4" w:space="0" w:color="auto"/>
              <w:right w:val="single" w:sz="4" w:space="0" w:color="auto"/>
            </w:tcBorders>
            <w:shd w:val="clear" w:color="000000" w:fill="92D050"/>
            <w:noWrap/>
            <w:vAlign w:val="bottom"/>
            <w:hideMark/>
          </w:tcPr>
          <w:p w14:paraId="625E9725"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28.6</w:t>
            </w:r>
          </w:p>
        </w:tc>
        <w:tc>
          <w:tcPr>
            <w:tcW w:w="536" w:type="dxa"/>
            <w:tcBorders>
              <w:top w:val="nil"/>
              <w:left w:val="nil"/>
              <w:bottom w:val="single" w:sz="4" w:space="0" w:color="auto"/>
              <w:right w:val="single" w:sz="4" w:space="0" w:color="auto"/>
            </w:tcBorders>
            <w:shd w:val="clear" w:color="000000" w:fill="00B050"/>
            <w:noWrap/>
            <w:vAlign w:val="bottom"/>
            <w:hideMark/>
          </w:tcPr>
          <w:p w14:paraId="61D95D47"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9.8</w:t>
            </w:r>
          </w:p>
        </w:tc>
        <w:tc>
          <w:tcPr>
            <w:tcW w:w="536" w:type="dxa"/>
            <w:tcBorders>
              <w:top w:val="nil"/>
              <w:left w:val="nil"/>
              <w:bottom w:val="single" w:sz="4" w:space="0" w:color="auto"/>
              <w:right w:val="single" w:sz="4" w:space="0" w:color="auto"/>
            </w:tcBorders>
            <w:shd w:val="clear" w:color="000000" w:fill="00B050"/>
            <w:noWrap/>
            <w:vAlign w:val="bottom"/>
            <w:hideMark/>
          </w:tcPr>
          <w:p w14:paraId="6ADC49C7"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29.6</w:t>
            </w:r>
          </w:p>
        </w:tc>
        <w:tc>
          <w:tcPr>
            <w:tcW w:w="625" w:type="dxa"/>
            <w:tcBorders>
              <w:top w:val="nil"/>
              <w:left w:val="nil"/>
              <w:bottom w:val="single" w:sz="4" w:space="0" w:color="auto"/>
              <w:right w:val="single" w:sz="4" w:space="0" w:color="auto"/>
            </w:tcBorders>
            <w:shd w:val="clear" w:color="000000" w:fill="92D050"/>
            <w:noWrap/>
            <w:vAlign w:val="bottom"/>
            <w:hideMark/>
          </w:tcPr>
          <w:p w14:paraId="20074118" w14:textId="55608683"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2.6</w:t>
            </w:r>
          </w:p>
        </w:tc>
        <w:tc>
          <w:tcPr>
            <w:tcW w:w="625" w:type="dxa"/>
            <w:tcBorders>
              <w:top w:val="nil"/>
              <w:left w:val="nil"/>
              <w:bottom w:val="single" w:sz="4" w:space="0" w:color="auto"/>
              <w:right w:val="single" w:sz="4" w:space="0" w:color="auto"/>
            </w:tcBorders>
            <w:shd w:val="clear" w:color="000000" w:fill="92D050"/>
            <w:noWrap/>
            <w:vAlign w:val="bottom"/>
            <w:hideMark/>
          </w:tcPr>
          <w:p w14:paraId="5158FB7A" w14:textId="0E16F04F"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21.0</w:t>
            </w:r>
          </w:p>
        </w:tc>
        <w:tc>
          <w:tcPr>
            <w:tcW w:w="625" w:type="dxa"/>
            <w:tcBorders>
              <w:top w:val="nil"/>
              <w:left w:val="nil"/>
              <w:bottom w:val="single" w:sz="4" w:space="0" w:color="auto"/>
              <w:right w:val="single" w:sz="4" w:space="0" w:color="auto"/>
            </w:tcBorders>
            <w:shd w:val="clear" w:color="000000" w:fill="00B050"/>
            <w:noWrap/>
            <w:vAlign w:val="bottom"/>
            <w:hideMark/>
          </w:tcPr>
          <w:p w14:paraId="5DB45547" w14:textId="26FC9E66"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11.4</w:t>
            </w:r>
          </w:p>
        </w:tc>
        <w:tc>
          <w:tcPr>
            <w:tcW w:w="553" w:type="dxa"/>
            <w:tcBorders>
              <w:top w:val="nil"/>
              <w:left w:val="nil"/>
              <w:bottom w:val="single" w:sz="4" w:space="0" w:color="auto"/>
              <w:right w:val="single" w:sz="4" w:space="0" w:color="auto"/>
            </w:tcBorders>
            <w:shd w:val="clear" w:color="000000" w:fill="00B050"/>
            <w:noWrap/>
            <w:vAlign w:val="bottom"/>
            <w:hideMark/>
          </w:tcPr>
          <w:p w14:paraId="6A387C74" w14:textId="2054CC29"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21.1</w:t>
            </w:r>
          </w:p>
        </w:tc>
      </w:tr>
      <w:tr w:rsidR="00C31AC3" w:rsidRPr="00736D6C" w14:paraId="53999DBE" w14:textId="77777777" w:rsidTr="00C31AC3">
        <w:trPr>
          <w:trHeight w:val="70"/>
          <w:jc w:val="center"/>
        </w:trPr>
        <w:tc>
          <w:tcPr>
            <w:tcW w:w="1620" w:type="dxa"/>
            <w:tcBorders>
              <w:top w:val="nil"/>
              <w:left w:val="single" w:sz="4" w:space="0" w:color="auto"/>
              <w:bottom w:val="single" w:sz="4" w:space="0" w:color="auto"/>
              <w:right w:val="single" w:sz="4" w:space="0" w:color="auto"/>
            </w:tcBorders>
            <w:shd w:val="clear" w:color="000000" w:fill="FFFF00"/>
            <w:noWrap/>
            <w:vAlign w:val="bottom"/>
            <w:hideMark/>
          </w:tcPr>
          <w:p w14:paraId="104B148E" w14:textId="77777777" w:rsidR="00C31AC3" w:rsidRPr="00736D6C" w:rsidRDefault="00C31AC3" w:rsidP="00C31AC3">
            <w:pPr>
              <w:overflowPunct/>
              <w:autoSpaceDE/>
              <w:autoSpaceDN/>
              <w:adjustRightInd/>
              <w:spacing w:after="0"/>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20M2C036RB000</w:t>
            </w:r>
          </w:p>
        </w:tc>
        <w:tc>
          <w:tcPr>
            <w:tcW w:w="703" w:type="dxa"/>
            <w:vMerge/>
            <w:tcBorders>
              <w:top w:val="nil"/>
              <w:left w:val="single" w:sz="4" w:space="0" w:color="auto"/>
              <w:bottom w:val="single" w:sz="4" w:space="0" w:color="auto"/>
              <w:right w:val="single" w:sz="4" w:space="0" w:color="auto"/>
            </w:tcBorders>
            <w:vAlign w:val="center"/>
            <w:hideMark/>
          </w:tcPr>
          <w:p w14:paraId="2B605578" w14:textId="77777777" w:rsidR="00C31AC3" w:rsidRPr="00736D6C" w:rsidRDefault="00C31AC3" w:rsidP="00C31AC3">
            <w:pPr>
              <w:overflowPunct/>
              <w:autoSpaceDE/>
              <w:autoSpaceDN/>
              <w:adjustRightInd/>
              <w:spacing w:after="0"/>
              <w:textAlignment w:val="auto"/>
              <w:rPr>
                <w:rFonts w:ascii="Calibri" w:hAnsi="Calibri" w:cs="Calibri"/>
                <w:color w:val="000000"/>
                <w:sz w:val="18"/>
                <w:szCs w:val="18"/>
                <w:lang w:val="en-US" w:eastAsia="en-US"/>
              </w:rPr>
            </w:pPr>
          </w:p>
        </w:tc>
        <w:tc>
          <w:tcPr>
            <w:tcW w:w="643" w:type="dxa"/>
            <w:tcBorders>
              <w:top w:val="nil"/>
              <w:left w:val="nil"/>
              <w:bottom w:val="single" w:sz="4" w:space="0" w:color="auto"/>
              <w:right w:val="single" w:sz="4" w:space="0" w:color="auto"/>
            </w:tcBorders>
            <w:shd w:val="clear" w:color="auto" w:fill="auto"/>
            <w:noWrap/>
            <w:vAlign w:val="bottom"/>
            <w:hideMark/>
          </w:tcPr>
          <w:p w14:paraId="29BB93D1" w14:textId="77777777" w:rsidR="00C31AC3" w:rsidRPr="00736D6C" w:rsidRDefault="00C31AC3" w:rsidP="00C31AC3">
            <w:pPr>
              <w:overflowPunct/>
              <w:autoSpaceDE/>
              <w:autoSpaceDN/>
              <w:adjustRightInd/>
              <w:spacing w:after="0"/>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Outer</w:t>
            </w:r>
          </w:p>
        </w:tc>
        <w:tc>
          <w:tcPr>
            <w:tcW w:w="559" w:type="dxa"/>
            <w:tcBorders>
              <w:top w:val="nil"/>
              <w:left w:val="nil"/>
              <w:bottom w:val="single" w:sz="4" w:space="0" w:color="auto"/>
              <w:right w:val="single" w:sz="4" w:space="0" w:color="auto"/>
            </w:tcBorders>
            <w:shd w:val="clear" w:color="auto" w:fill="auto"/>
            <w:noWrap/>
            <w:vAlign w:val="bottom"/>
            <w:hideMark/>
          </w:tcPr>
          <w:p w14:paraId="1C228DBF"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24.5</w:t>
            </w:r>
          </w:p>
        </w:tc>
        <w:tc>
          <w:tcPr>
            <w:tcW w:w="625" w:type="dxa"/>
            <w:tcBorders>
              <w:top w:val="nil"/>
              <w:left w:val="nil"/>
              <w:bottom w:val="single" w:sz="4" w:space="0" w:color="auto"/>
              <w:right w:val="single" w:sz="4" w:space="0" w:color="auto"/>
            </w:tcBorders>
            <w:shd w:val="clear" w:color="000000" w:fill="FF0000"/>
            <w:noWrap/>
            <w:vAlign w:val="bottom"/>
            <w:hideMark/>
          </w:tcPr>
          <w:p w14:paraId="74A4A389"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-5.9</w:t>
            </w:r>
          </w:p>
        </w:tc>
        <w:tc>
          <w:tcPr>
            <w:tcW w:w="540" w:type="dxa"/>
            <w:tcBorders>
              <w:top w:val="nil"/>
              <w:left w:val="nil"/>
              <w:bottom w:val="single" w:sz="4" w:space="0" w:color="auto"/>
              <w:right w:val="single" w:sz="4" w:space="0" w:color="auto"/>
            </w:tcBorders>
            <w:shd w:val="clear" w:color="000000" w:fill="92D050"/>
            <w:noWrap/>
            <w:vAlign w:val="bottom"/>
            <w:hideMark/>
          </w:tcPr>
          <w:p w14:paraId="6B22C616"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15.6</w:t>
            </w:r>
          </w:p>
        </w:tc>
        <w:tc>
          <w:tcPr>
            <w:tcW w:w="536" w:type="dxa"/>
            <w:tcBorders>
              <w:top w:val="nil"/>
              <w:left w:val="nil"/>
              <w:bottom w:val="single" w:sz="4" w:space="0" w:color="auto"/>
              <w:right w:val="single" w:sz="4" w:space="0" w:color="auto"/>
            </w:tcBorders>
            <w:shd w:val="clear" w:color="000000" w:fill="00B050"/>
            <w:noWrap/>
            <w:vAlign w:val="bottom"/>
            <w:hideMark/>
          </w:tcPr>
          <w:p w14:paraId="30163BFE"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12.1</w:t>
            </w:r>
          </w:p>
        </w:tc>
        <w:tc>
          <w:tcPr>
            <w:tcW w:w="536" w:type="dxa"/>
            <w:tcBorders>
              <w:top w:val="nil"/>
              <w:left w:val="nil"/>
              <w:bottom w:val="single" w:sz="4" w:space="0" w:color="auto"/>
              <w:right w:val="single" w:sz="4" w:space="0" w:color="auto"/>
            </w:tcBorders>
            <w:shd w:val="clear" w:color="000000" w:fill="00B050"/>
            <w:noWrap/>
            <w:vAlign w:val="bottom"/>
            <w:hideMark/>
          </w:tcPr>
          <w:p w14:paraId="60085ECE"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27.0</w:t>
            </w:r>
          </w:p>
        </w:tc>
        <w:tc>
          <w:tcPr>
            <w:tcW w:w="625" w:type="dxa"/>
            <w:tcBorders>
              <w:top w:val="nil"/>
              <w:left w:val="nil"/>
              <w:bottom w:val="single" w:sz="4" w:space="0" w:color="auto"/>
              <w:right w:val="single" w:sz="4" w:space="0" w:color="auto"/>
            </w:tcBorders>
            <w:shd w:val="clear" w:color="000000" w:fill="FF0000"/>
            <w:noWrap/>
            <w:vAlign w:val="bottom"/>
            <w:hideMark/>
          </w:tcPr>
          <w:p w14:paraId="3C29F561" w14:textId="6E8FAE0B"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-5.7</w:t>
            </w:r>
          </w:p>
        </w:tc>
        <w:tc>
          <w:tcPr>
            <w:tcW w:w="625" w:type="dxa"/>
            <w:tcBorders>
              <w:top w:val="nil"/>
              <w:left w:val="nil"/>
              <w:bottom w:val="single" w:sz="4" w:space="0" w:color="auto"/>
              <w:right w:val="single" w:sz="4" w:space="0" w:color="auto"/>
            </w:tcBorders>
            <w:shd w:val="clear" w:color="000000" w:fill="92D050"/>
            <w:noWrap/>
            <w:vAlign w:val="bottom"/>
            <w:hideMark/>
          </w:tcPr>
          <w:p w14:paraId="30B75D56" w14:textId="4DC0FFC3"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16.9</w:t>
            </w:r>
          </w:p>
        </w:tc>
        <w:tc>
          <w:tcPr>
            <w:tcW w:w="625" w:type="dxa"/>
            <w:tcBorders>
              <w:top w:val="nil"/>
              <w:left w:val="nil"/>
              <w:bottom w:val="single" w:sz="4" w:space="0" w:color="auto"/>
              <w:right w:val="single" w:sz="4" w:space="0" w:color="auto"/>
            </w:tcBorders>
            <w:shd w:val="clear" w:color="000000" w:fill="00B050"/>
            <w:noWrap/>
            <w:vAlign w:val="bottom"/>
            <w:hideMark/>
          </w:tcPr>
          <w:p w14:paraId="05847095" w14:textId="7FF55C41"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13.7</w:t>
            </w:r>
          </w:p>
        </w:tc>
        <w:tc>
          <w:tcPr>
            <w:tcW w:w="553" w:type="dxa"/>
            <w:tcBorders>
              <w:top w:val="nil"/>
              <w:left w:val="nil"/>
              <w:bottom w:val="single" w:sz="4" w:space="0" w:color="auto"/>
              <w:right w:val="single" w:sz="4" w:space="0" w:color="auto"/>
            </w:tcBorders>
            <w:shd w:val="clear" w:color="000000" w:fill="00B050"/>
            <w:noWrap/>
            <w:vAlign w:val="bottom"/>
            <w:hideMark/>
          </w:tcPr>
          <w:p w14:paraId="44DFAA6B" w14:textId="1098934F"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20.3</w:t>
            </w:r>
          </w:p>
        </w:tc>
      </w:tr>
      <w:tr w:rsidR="00C31AC3" w:rsidRPr="00736D6C" w14:paraId="5ECC9B30" w14:textId="77777777" w:rsidTr="00C31AC3">
        <w:trPr>
          <w:trHeight w:val="70"/>
          <w:jc w:val="center"/>
        </w:trPr>
        <w:tc>
          <w:tcPr>
            <w:tcW w:w="1620" w:type="dxa"/>
            <w:tcBorders>
              <w:top w:val="nil"/>
              <w:left w:val="single" w:sz="4" w:space="0" w:color="auto"/>
              <w:bottom w:val="single" w:sz="4" w:space="0" w:color="auto"/>
              <w:right w:val="single" w:sz="4" w:space="0" w:color="auto"/>
            </w:tcBorders>
            <w:shd w:val="clear" w:color="000000" w:fill="92D050"/>
            <w:noWrap/>
            <w:vAlign w:val="bottom"/>
            <w:hideMark/>
          </w:tcPr>
          <w:p w14:paraId="474557D1" w14:textId="77777777" w:rsidR="00C31AC3" w:rsidRPr="00736D6C" w:rsidRDefault="00C31AC3" w:rsidP="00C31AC3">
            <w:pPr>
              <w:overflowPunct/>
              <w:autoSpaceDE/>
              <w:autoSpaceDN/>
              <w:adjustRightInd/>
              <w:spacing w:after="0"/>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20M2C036RB036</w:t>
            </w:r>
          </w:p>
        </w:tc>
        <w:tc>
          <w:tcPr>
            <w:tcW w:w="703" w:type="dxa"/>
            <w:vMerge/>
            <w:tcBorders>
              <w:top w:val="nil"/>
              <w:left w:val="single" w:sz="4" w:space="0" w:color="auto"/>
              <w:bottom w:val="single" w:sz="4" w:space="0" w:color="auto"/>
              <w:right w:val="single" w:sz="4" w:space="0" w:color="auto"/>
            </w:tcBorders>
            <w:vAlign w:val="center"/>
            <w:hideMark/>
          </w:tcPr>
          <w:p w14:paraId="4A46C5F1" w14:textId="77777777" w:rsidR="00C31AC3" w:rsidRPr="00736D6C" w:rsidRDefault="00C31AC3" w:rsidP="00C31AC3">
            <w:pPr>
              <w:overflowPunct/>
              <w:autoSpaceDE/>
              <w:autoSpaceDN/>
              <w:adjustRightInd/>
              <w:spacing w:after="0"/>
              <w:textAlignment w:val="auto"/>
              <w:rPr>
                <w:rFonts w:ascii="Calibri" w:hAnsi="Calibri" w:cs="Calibri"/>
                <w:color w:val="000000"/>
                <w:sz w:val="18"/>
                <w:szCs w:val="18"/>
                <w:lang w:val="en-US" w:eastAsia="en-US"/>
              </w:rPr>
            </w:pPr>
          </w:p>
        </w:tc>
        <w:tc>
          <w:tcPr>
            <w:tcW w:w="643" w:type="dxa"/>
            <w:tcBorders>
              <w:top w:val="nil"/>
              <w:left w:val="nil"/>
              <w:bottom w:val="single" w:sz="4" w:space="0" w:color="auto"/>
              <w:right w:val="single" w:sz="4" w:space="0" w:color="auto"/>
            </w:tcBorders>
            <w:shd w:val="clear" w:color="auto" w:fill="auto"/>
            <w:noWrap/>
            <w:vAlign w:val="bottom"/>
            <w:hideMark/>
          </w:tcPr>
          <w:p w14:paraId="1824804D" w14:textId="77777777" w:rsidR="00C31AC3" w:rsidRPr="00736D6C" w:rsidRDefault="00C31AC3" w:rsidP="00C31AC3">
            <w:pPr>
              <w:overflowPunct/>
              <w:autoSpaceDE/>
              <w:autoSpaceDN/>
              <w:adjustRightInd/>
              <w:spacing w:after="0"/>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Inner</w:t>
            </w:r>
          </w:p>
        </w:tc>
        <w:tc>
          <w:tcPr>
            <w:tcW w:w="559" w:type="dxa"/>
            <w:tcBorders>
              <w:top w:val="nil"/>
              <w:left w:val="nil"/>
              <w:bottom w:val="single" w:sz="4" w:space="0" w:color="auto"/>
              <w:right w:val="single" w:sz="4" w:space="0" w:color="auto"/>
            </w:tcBorders>
            <w:shd w:val="clear" w:color="auto" w:fill="auto"/>
            <w:noWrap/>
            <w:vAlign w:val="bottom"/>
            <w:hideMark/>
          </w:tcPr>
          <w:p w14:paraId="4B5AC3F7"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24.5</w:t>
            </w:r>
          </w:p>
        </w:tc>
        <w:tc>
          <w:tcPr>
            <w:tcW w:w="625" w:type="dxa"/>
            <w:tcBorders>
              <w:top w:val="nil"/>
              <w:left w:val="nil"/>
              <w:bottom w:val="single" w:sz="4" w:space="0" w:color="auto"/>
              <w:right w:val="single" w:sz="4" w:space="0" w:color="auto"/>
            </w:tcBorders>
            <w:shd w:val="clear" w:color="000000" w:fill="92D050"/>
            <w:noWrap/>
            <w:vAlign w:val="bottom"/>
            <w:hideMark/>
          </w:tcPr>
          <w:p w14:paraId="741CCB32"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13.5</w:t>
            </w:r>
          </w:p>
        </w:tc>
        <w:tc>
          <w:tcPr>
            <w:tcW w:w="540" w:type="dxa"/>
            <w:tcBorders>
              <w:top w:val="nil"/>
              <w:left w:val="nil"/>
              <w:bottom w:val="single" w:sz="4" w:space="0" w:color="auto"/>
              <w:right w:val="single" w:sz="4" w:space="0" w:color="auto"/>
            </w:tcBorders>
            <w:shd w:val="clear" w:color="000000" w:fill="92D050"/>
            <w:noWrap/>
            <w:vAlign w:val="bottom"/>
            <w:hideMark/>
          </w:tcPr>
          <w:p w14:paraId="0FAC2FA8"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12.4</w:t>
            </w:r>
          </w:p>
        </w:tc>
        <w:tc>
          <w:tcPr>
            <w:tcW w:w="536" w:type="dxa"/>
            <w:tcBorders>
              <w:top w:val="nil"/>
              <w:left w:val="nil"/>
              <w:bottom w:val="single" w:sz="4" w:space="0" w:color="auto"/>
              <w:right w:val="single" w:sz="4" w:space="0" w:color="auto"/>
            </w:tcBorders>
            <w:shd w:val="clear" w:color="000000" w:fill="00B050"/>
            <w:noWrap/>
            <w:vAlign w:val="bottom"/>
            <w:hideMark/>
          </w:tcPr>
          <w:p w14:paraId="5BAD087C"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23.5</w:t>
            </w:r>
          </w:p>
        </w:tc>
        <w:tc>
          <w:tcPr>
            <w:tcW w:w="536" w:type="dxa"/>
            <w:tcBorders>
              <w:top w:val="nil"/>
              <w:left w:val="nil"/>
              <w:bottom w:val="single" w:sz="4" w:space="0" w:color="auto"/>
              <w:right w:val="single" w:sz="4" w:space="0" w:color="auto"/>
            </w:tcBorders>
            <w:shd w:val="clear" w:color="000000" w:fill="00B050"/>
            <w:noWrap/>
            <w:vAlign w:val="bottom"/>
            <w:hideMark/>
          </w:tcPr>
          <w:p w14:paraId="182B6FB1"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23.5</w:t>
            </w:r>
          </w:p>
        </w:tc>
        <w:tc>
          <w:tcPr>
            <w:tcW w:w="625" w:type="dxa"/>
            <w:tcBorders>
              <w:top w:val="nil"/>
              <w:left w:val="nil"/>
              <w:bottom w:val="single" w:sz="4" w:space="0" w:color="auto"/>
              <w:right w:val="single" w:sz="4" w:space="0" w:color="auto"/>
            </w:tcBorders>
            <w:shd w:val="clear" w:color="000000" w:fill="92D050"/>
            <w:noWrap/>
            <w:vAlign w:val="bottom"/>
            <w:hideMark/>
          </w:tcPr>
          <w:p w14:paraId="55688954" w14:textId="73083A49"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14.2</w:t>
            </w:r>
          </w:p>
        </w:tc>
        <w:tc>
          <w:tcPr>
            <w:tcW w:w="625" w:type="dxa"/>
            <w:tcBorders>
              <w:top w:val="nil"/>
              <w:left w:val="nil"/>
              <w:bottom w:val="single" w:sz="4" w:space="0" w:color="auto"/>
              <w:right w:val="single" w:sz="4" w:space="0" w:color="auto"/>
            </w:tcBorders>
            <w:shd w:val="clear" w:color="000000" w:fill="92D050"/>
            <w:noWrap/>
            <w:vAlign w:val="bottom"/>
            <w:hideMark/>
          </w:tcPr>
          <w:p w14:paraId="266945EA" w14:textId="272A6E5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14.6</w:t>
            </w:r>
          </w:p>
        </w:tc>
        <w:tc>
          <w:tcPr>
            <w:tcW w:w="625" w:type="dxa"/>
            <w:tcBorders>
              <w:top w:val="nil"/>
              <w:left w:val="nil"/>
              <w:bottom w:val="single" w:sz="4" w:space="0" w:color="auto"/>
              <w:right w:val="single" w:sz="4" w:space="0" w:color="auto"/>
            </w:tcBorders>
            <w:shd w:val="clear" w:color="000000" w:fill="00B050"/>
            <w:noWrap/>
            <w:vAlign w:val="bottom"/>
            <w:hideMark/>
          </w:tcPr>
          <w:p w14:paraId="2FABF927" w14:textId="6E1FFA3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21.1</w:t>
            </w:r>
          </w:p>
        </w:tc>
        <w:tc>
          <w:tcPr>
            <w:tcW w:w="553" w:type="dxa"/>
            <w:tcBorders>
              <w:top w:val="nil"/>
              <w:left w:val="nil"/>
              <w:bottom w:val="single" w:sz="4" w:space="0" w:color="auto"/>
              <w:right w:val="single" w:sz="4" w:space="0" w:color="auto"/>
            </w:tcBorders>
            <w:shd w:val="clear" w:color="000000" w:fill="00B050"/>
            <w:noWrap/>
            <w:vAlign w:val="bottom"/>
            <w:hideMark/>
          </w:tcPr>
          <w:p w14:paraId="73820A28" w14:textId="31C68B95"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19.7</w:t>
            </w:r>
          </w:p>
        </w:tc>
      </w:tr>
      <w:tr w:rsidR="00C31AC3" w:rsidRPr="00736D6C" w14:paraId="11908B15" w14:textId="77777777" w:rsidTr="00C31AC3">
        <w:trPr>
          <w:trHeight w:val="70"/>
          <w:jc w:val="center"/>
        </w:trPr>
        <w:tc>
          <w:tcPr>
            <w:tcW w:w="1620" w:type="dxa"/>
            <w:tcBorders>
              <w:top w:val="nil"/>
              <w:left w:val="single" w:sz="4" w:space="0" w:color="auto"/>
              <w:bottom w:val="single" w:sz="4" w:space="0" w:color="auto"/>
              <w:right w:val="single" w:sz="4" w:space="0" w:color="auto"/>
            </w:tcBorders>
            <w:shd w:val="clear" w:color="000000" w:fill="FFFF00"/>
            <w:noWrap/>
            <w:vAlign w:val="bottom"/>
            <w:hideMark/>
          </w:tcPr>
          <w:p w14:paraId="6A6A679D" w14:textId="77777777" w:rsidR="00C31AC3" w:rsidRPr="00736D6C" w:rsidRDefault="00C31AC3" w:rsidP="00C31AC3">
            <w:pPr>
              <w:overflowPunct/>
              <w:autoSpaceDE/>
              <w:autoSpaceDN/>
              <w:adjustRightInd/>
              <w:spacing w:after="0"/>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20M2C053RB000</w:t>
            </w:r>
          </w:p>
        </w:tc>
        <w:tc>
          <w:tcPr>
            <w:tcW w:w="703" w:type="dxa"/>
            <w:vMerge/>
            <w:tcBorders>
              <w:top w:val="nil"/>
              <w:left w:val="single" w:sz="4" w:space="0" w:color="auto"/>
              <w:bottom w:val="single" w:sz="4" w:space="0" w:color="auto"/>
              <w:right w:val="single" w:sz="4" w:space="0" w:color="auto"/>
            </w:tcBorders>
            <w:vAlign w:val="center"/>
            <w:hideMark/>
          </w:tcPr>
          <w:p w14:paraId="0F15D073" w14:textId="77777777" w:rsidR="00C31AC3" w:rsidRPr="00736D6C" w:rsidRDefault="00C31AC3" w:rsidP="00C31AC3">
            <w:pPr>
              <w:overflowPunct/>
              <w:autoSpaceDE/>
              <w:autoSpaceDN/>
              <w:adjustRightInd/>
              <w:spacing w:after="0"/>
              <w:textAlignment w:val="auto"/>
              <w:rPr>
                <w:rFonts w:ascii="Calibri" w:hAnsi="Calibri" w:cs="Calibri"/>
                <w:color w:val="000000"/>
                <w:sz w:val="18"/>
                <w:szCs w:val="18"/>
                <w:lang w:val="en-US" w:eastAsia="en-US"/>
              </w:rPr>
            </w:pPr>
          </w:p>
        </w:tc>
        <w:tc>
          <w:tcPr>
            <w:tcW w:w="643" w:type="dxa"/>
            <w:tcBorders>
              <w:top w:val="nil"/>
              <w:left w:val="nil"/>
              <w:bottom w:val="single" w:sz="4" w:space="0" w:color="auto"/>
              <w:right w:val="single" w:sz="4" w:space="0" w:color="auto"/>
            </w:tcBorders>
            <w:shd w:val="clear" w:color="auto" w:fill="auto"/>
            <w:noWrap/>
            <w:vAlign w:val="bottom"/>
            <w:hideMark/>
          </w:tcPr>
          <w:p w14:paraId="52EA7A28" w14:textId="77777777" w:rsidR="00C31AC3" w:rsidRPr="00736D6C" w:rsidRDefault="00C31AC3" w:rsidP="00C31AC3">
            <w:pPr>
              <w:overflowPunct/>
              <w:autoSpaceDE/>
              <w:autoSpaceDN/>
              <w:adjustRightInd/>
              <w:spacing w:after="0"/>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Outer</w:t>
            </w:r>
          </w:p>
        </w:tc>
        <w:tc>
          <w:tcPr>
            <w:tcW w:w="559" w:type="dxa"/>
            <w:tcBorders>
              <w:top w:val="nil"/>
              <w:left w:val="nil"/>
              <w:bottom w:val="single" w:sz="4" w:space="0" w:color="auto"/>
              <w:right w:val="single" w:sz="4" w:space="0" w:color="auto"/>
            </w:tcBorders>
            <w:shd w:val="clear" w:color="auto" w:fill="auto"/>
            <w:noWrap/>
            <w:vAlign w:val="bottom"/>
            <w:hideMark/>
          </w:tcPr>
          <w:p w14:paraId="085D3B15"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24.5</w:t>
            </w:r>
          </w:p>
        </w:tc>
        <w:tc>
          <w:tcPr>
            <w:tcW w:w="625" w:type="dxa"/>
            <w:tcBorders>
              <w:top w:val="nil"/>
              <w:left w:val="nil"/>
              <w:bottom w:val="single" w:sz="4" w:space="0" w:color="auto"/>
              <w:right w:val="single" w:sz="4" w:space="0" w:color="auto"/>
            </w:tcBorders>
            <w:shd w:val="clear" w:color="000000" w:fill="FF0000"/>
            <w:noWrap/>
            <w:vAlign w:val="bottom"/>
            <w:hideMark/>
          </w:tcPr>
          <w:p w14:paraId="7BB05357"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-5.8</w:t>
            </w:r>
          </w:p>
        </w:tc>
        <w:tc>
          <w:tcPr>
            <w:tcW w:w="540" w:type="dxa"/>
            <w:tcBorders>
              <w:top w:val="nil"/>
              <w:left w:val="nil"/>
              <w:bottom w:val="single" w:sz="4" w:space="0" w:color="auto"/>
              <w:right w:val="single" w:sz="4" w:space="0" w:color="auto"/>
            </w:tcBorders>
            <w:shd w:val="clear" w:color="000000" w:fill="92D050"/>
            <w:noWrap/>
            <w:vAlign w:val="bottom"/>
            <w:hideMark/>
          </w:tcPr>
          <w:p w14:paraId="367A3215"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11.5</w:t>
            </w:r>
          </w:p>
        </w:tc>
        <w:tc>
          <w:tcPr>
            <w:tcW w:w="536" w:type="dxa"/>
            <w:tcBorders>
              <w:top w:val="nil"/>
              <w:left w:val="nil"/>
              <w:bottom w:val="single" w:sz="4" w:space="0" w:color="auto"/>
              <w:right w:val="single" w:sz="4" w:space="0" w:color="auto"/>
            </w:tcBorders>
            <w:shd w:val="clear" w:color="000000" w:fill="00B050"/>
            <w:noWrap/>
            <w:vAlign w:val="bottom"/>
            <w:hideMark/>
          </w:tcPr>
          <w:p w14:paraId="08E024AD"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12.7</w:t>
            </w:r>
          </w:p>
        </w:tc>
        <w:tc>
          <w:tcPr>
            <w:tcW w:w="536" w:type="dxa"/>
            <w:tcBorders>
              <w:top w:val="nil"/>
              <w:left w:val="nil"/>
              <w:bottom w:val="single" w:sz="4" w:space="0" w:color="auto"/>
              <w:right w:val="single" w:sz="4" w:space="0" w:color="auto"/>
            </w:tcBorders>
            <w:shd w:val="clear" w:color="000000" w:fill="00B050"/>
            <w:noWrap/>
            <w:vAlign w:val="bottom"/>
            <w:hideMark/>
          </w:tcPr>
          <w:p w14:paraId="19EBBA8C"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21.1</w:t>
            </w:r>
          </w:p>
        </w:tc>
        <w:tc>
          <w:tcPr>
            <w:tcW w:w="625" w:type="dxa"/>
            <w:tcBorders>
              <w:top w:val="nil"/>
              <w:left w:val="nil"/>
              <w:bottom w:val="single" w:sz="4" w:space="0" w:color="auto"/>
              <w:right w:val="single" w:sz="4" w:space="0" w:color="auto"/>
            </w:tcBorders>
            <w:shd w:val="clear" w:color="000000" w:fill="FF0000"/>
            <w:noWrap/>
            <w:vAlign w:val="bottom"/>
            <w:hideMark/>
          </w:tcPr>
          <w:p w14:paraId="03603B18" w14:textId="0E491659"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-5.8</w:t>
            </w:r>
          </w:p>
        </w:tc>
        <w:tc>
          <w:tcPr>
            <w:tcW w:w="625" w:type="dxa"/>
            <w:tcBorders>
              <w:top w:val="nil"/>
              <w:left w:val="nil"/>
              <w:bottom w:val="single" w:sz="4" w:space="0" w:color="auto"/>
              <w:right w:val="single" w:sz="4" w:space="0" w:color="auto"/>
            </w:tcBorders>
            <w:shd w:val="clear" w:color="000000" w:fill="92D050"/>
            <w:noWrap/>
            <w:vAlign w:val="bottom"/>
            <w:hideMark/>
          </w:tcPr>
          <w:p w14:paraId="1DC7BDF8" w14:textId="667ACEAC"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13.3</w:t>
            </w:r>
          </w:p>
        </w:tc>
        <w:tc>
          <w:tcPr>
            <w:tcW w:w="625" w:type="dxa"/>
            <w:tcBorders>
              <w:top w:val="nil"/>
              <w:left w:val="nil"/>
              <w:bottom w:val="single" w:sz="4" w:space="0" w:color="auto"/>
              <w:right w:val="single" w:sz="4" w:space="0" w:color="auto"/>
            </w:tcBorders>
            <w:shd w:val="clear" w:color="000000" w:fill="00B050"/>
            <w:noWrap/>
            <w:vAlign w:val="bottom"/>
            <w:hideMark/>
          </w:tcPr>
          <w:p w14:paraId="12CF9A0E" w14:textId="09F81693"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12.3</w:t>
            </w:r>
          </w:p>
        </w:tc>
        <w:tc>
          <w:tcPr>
            <w:tcW w:w="553" w:type="dxa"/>
            <w:tcBorders>
              <w:top w:val="nil"/>
              <w:left w:val="nil"/>
              <w:bottom w:val="single" w:sz="4" w:space="0" w:color="auto"/>
              <w:right w:val="single" w:sz="4" w:space="0" w:color="auto"/>
            </w:tcBorders>
            <w:shd w:val="clear" w:color="000000" w:fill="00B050"/>
            <w:noWrap/>
            <w:vAlign w:val="bottom"/>
            <w:hideMark/>
          </w:tcPr>
          <w:p w14:paraId="4155BF16" w14:textId="02D453E8"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18.7</w:t>
            </w:r>
          </w:p>
        </w:tc>
      </w:tr>
      <w:tr w:rsidR="00C31AC3" w:rsidRPr="00736D6C" w14:paraId="08B322DA" w14:textId="77777777" w:rsidTr="00C31AC3">
        <w:trPr>
          <w:trHeight w:val="70"/>
          <w:jc w:val="center"/>
        </w:trPr>
        <w:tc>
          <w:tcPr>
            <w:tcW w:w="1620" w:type="dxa"/>
            <w:tcBorders>
              <w:top w:val="nil"/>
              <w:left w:val="single" w:sz="4" w:space="0" w:color="auto"/>
              <w:bottom w:val="single" w:sz="4" w:space="0" w:color="auto"/>
              <w:right w:val="single" w:sz="4" w:space="0" w:color="auto"/>
            </w:tcBorders>
            <w:shd w:val="clear" w:color="000000" w:fill="92D050"/>
            <w:noWrap/>
            <w:vAlign w:val="bottom"/>
            <w:hideMark/>
          </w:tcPr>
          <w:p w14:paraId="7134612B" w14:textId="77777777" w:rsidR="00C31AC3" w:rsidRPr="00736D6C" w:rsidRDefault="00C31AC3" w:rsidP="00C31AC3">
            <w:pPr>
              <w:overflowPunct/>
              <w:autoSpaceDE/>
              <w:autoSpaceDN/>
              <w:adjustRightInd/>
              <w:spacing w:after="0"/>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20M2C053RB026</w:t>
            </w:r>
          </w:p>
        </w:tc>
        <w:tc>
          <w:tcPr>
            <w:tcW w:w="703" w:type="dxa"/>
            <w:vMerge/>
            <w:tcBorders>
              <w:top w:val="nil"/>
              <w:left w:val="single" w:sz="4" w:space="0" w:color="auto"/>
              <w:bottom w:val="single" w:sz="4" w:space="0" w:color="auto"/>
              <w:right w:val="single" w:sz="4" w:space="0" w:color="auto"/>
            </w:tcBorders>
            <w:vAlign w:val="center"/>
            <w:hideMark/>
          </w:tcPr>
          <w:p w14:paraId="0180A5D6" w14:textId="77777777" w:rsidR="00C31AC3" w:rsidRPr="00736D6C" w:rsidRDefault="00C31AC3" w:rsidP="00C31AC3">
            <w:pPr>
              <w:overflowPunct/>
              <w:autoSpaceDE/>
              <w:autoSpaceDN/>
              <w:adjustRightInd/>
              <w:spacing w:after="0"/>
              <w:textAlignment w:val="auto"/>
              <w:rPr>
                <w:rFonts w:ascii="Calibri" w:hAnsi="Calibri" w:cs="Calibri"/>
                <w:color w:val="000000"/>
                <w:sz w:val="18"/>
                <w:szCs w:val="18"/>
                <w:lang w:val="en-US" w:eastAsia="en-US"/>
              </w:rPr>
            </w:pPr>
          </w:p>
        </w:tc>
        <w:tc>
          <w:tcPr>
            <w:tcW w:w="643" w:type="dxa"/>
            <w:tcBorders>
              <w:top w:val="nil"/>
              <w:left w:val="nil"/>
              <w:bottom w:val="single" w:sz="4" w:space="0" w:color="auto"/>
              <w:right w:val="single" w:sz="4" w:space="0" w:color="auto"/>
            </w:tcBorders>
            <w:shd w:val="clear" w:color="auto" w:fill="auto"/>
            <w:noWrap/>
            <w:vAlign w:val="bottom"/>
            <w:hideMark/>
          </w:tcPr>
          <w:p w14:paraId="3F66B5EB" w14:textId="77777777" w:rsidR="00C31AC3" w:rsidRPr="00736D6C" w:rsidRDefault="00C31AC3" w:rsidP="00C31AC3">
            <w:pPr>
              <w:overflowPunct/>
              <w:autoSpaceDE/>
              <w:autoSpaceDN/>
              <w:adjustRightInd/>
              <w:spacing w:after="0"/>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Inner</w:t>
            </w:r>
          </w:p>
        </w:tc>
        <w:tc>
          <w:tcPr>
            <w:tcW w:w="559" w:type="dxa"/>
            <w:tcBorders>
              <w:top w:val="nil"/>
              <w:left w:val="nil"/>
              <w:bottom w:val="single" w:sz="4" w:space="0" w:color="auto"/>
              <w:right w:val="single" w:sz="4" w:space="0" w:color="auto"/>
            </w:tcBorders>
            <w:shd w:val="clear" w:color="auto" w:fill="auto"/>
            <w:noWrap/>
            <w:vAlign w:val="bottom"/>
            <w:hideMark/>
          </w:tcPr>
          <w:p w14:paraId="625DD488"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24.5</w:t>
            </w:r>
          </w:p>
        </w:tc>
        <w:tc>
          <w:tcPr>
            <w:tcW w:w="625" w:type="dxa"/>
            <w:tcBorders>
              <w:top w:val="nil"/>
              <w:left w:val="nil"/>
              <w:bottom w:val="single" w:sz="4" w:space="0" w:color="auto"/>
              <w:right w:val="single" w:sz="4" w:space="0" w:color="auto"/>
            </w:tcBorders>
            <w:shd w:val="clear" w:color="000000" w:fill="FFFF00"/>
            <w:noWrap/>
            <w:vAlign w:val="bottom"/>
            <w:hideMark/>
          </w:tcPr>
          <w:p w14:paraId="44AF5ABE"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3.3</w:t>
            </w:r>
          </w:p>
        </w:tc>
        <w:tc>
          <w:tcPr>
            <w:tcW w:w="540" w:type="dxa"/>
            <w:tcBorders>
              <w:top w:val="nil"/>
              <w:left w:val="nil"/>
              <w:bottom w:val="single" w:sz="4" w:space="0" w:color="auto"/>
              <w:right w:val="single" w:sz="4" w:space="0" w:color="auto"/>
            </w:tcBorders>
            <w:shd w:val="clear" w:color="000000" w:fill="FFFF00"/>
            <w:noWrap/>
            <w:vAlign w:val="bottom"/>
            <w:hideMark/>
          </w:tcPr>
          <w:p w14:paraId="16391619"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3.3</w:t>
            </w:r>
          </w:p>
        </w:tc>
        <w:tc>
          <w:tcPr>
            <w:tcW w:w="536" w:type="dxa"/>
            <w:tcBorders>
              <w:top w:val="nil"/>
              <w:left w:val="nil"/>
              <w:bottom w:val="single" w:sz="4" w:space="0" w:color="auto"/>
              <w:right w:val="single" w:sz="4" w:space="0" w:color="auto"/>
            </w:tcBorders>
            <w:shd w:val="clear" w:color="000000" w:fill="00B050"/>
            <w:noWrap/>
            <w:vAlign w:val="bottom"/>
            <w:hideMark/>
          </w:tcPr>
          <w:p w14:paraId="27118637"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18.2</w:t>
            </w:r>
          </w:p>
        </w:tc>
        <w:tc>
          <w:tcPr>
            <w:tcW w:w="536" w:type="dxa"/>
            <w:tcBorders>
              <w:top w:val="nil"/>
              <w:left w:val="nil"/>
              <w:bottom w:val="single" w:sz="4" w:space="0" w:color="auto"/>
              <w:right w:val="single" w:sz="4" w:space="0" w:color="auto"/>
            </w:tcBorders>
            <w:shd w:val="clear" w:color="000000" w:fill="00B050"/>
            <w:noWrap/>
            <w:vAlign w:val="bottom"/>
            <w:hideMark/>
          </w:tcPr>
          <w:p w14:paraId="6656AA3E"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17.8</w:t>
            </w:r>
          </w:p>
        </w:tc>
        <w:tc>
          <w:tcPr>
            <w:tcW w:w="625" w:type="dxa"/>
            <w:tcBorders>
              <w:top w:val="nil"/>
              <w:left w:val="nil"/>
              <w:bottom w:val="single" w:sz="4" w:space="0" w:color="auto"/>
              <w:right w:val="single" w:sz="4" w:space="0" w:color="auto"/>
            </w:tcBorders>
            <w:shd w:val="clear" w:color="000000" w:fill="FFFF00"/>
            <w:noWrap/>
            <w:vAlign w:val="bottom"/>
            <w:hideMark/>
          </w:tcPr>
          <w:p w14:paraId="25CE0A8E" w14:textId="7010D300"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2.6</w:t>
            </w:r>
          </w:p>
        </w:tc>
        <w:tc>
          <w:tcPr>
            <w:tcW w:w="625" w:type="dxa"/>
            <w:tcBorders>
              <w:top w:val="nil"/>
              <w:left w:val="nil"/>
              <w:bottom w:val="single" w:sz="4" w:space="0" w:color="auto"/>
              <w:right w:val="single" w:sz="4" w:space="0" w:color="auto"/>
            </w:tcBorders>
            <w:shd w:val="clear" w:color="000000" w:fill="FFFF00"/>
            <w:noWrap/>
            <w:vAlign w:val="bottom"/>
            <w:hideMark/>
          </w:tcPr>
          <w:p w14:paraId="6C77B0FD" w14:textId="2F1B720F"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2.8</w:t>
            </w:r>
          </w:p>
        </w:tc>
        <w:tc>
          <w:tcPr>
            <w:tcW w:w="625" w:type="dxa"/>
            <w:tcBorders>
              <w:top w:val="nil"/>
              <w:left w:val="nil"/>
              <w:bottom w:val="single" w:sz="4" w:space="0" w:color="auto"/>
              <w:right w:val="single" w:sz="4" w:space="0" w:color="auto"/>
            </w:tcBorders>
            <w:shd w:val="clear" w:color="000000" w:fill="00B050"/>
            <w:noWrap/>
            <w:vAlign w:val="bottom"/>
            <w:hideMark/>
          </w:tcPr>
          <w:p w14:paraId="46CDDE15" w14:textId="7793C6FF"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16.4</w:t>
            </w:r>
          </w:p>
        </w:tc>
        <w:tc>
          <w:tcPr>
            <w:tcW w:w="553" w:type="dxa"/>
            <w:tcBorders>
              <w:top w:val="nil"/>
              <w:left w:val="nil"/>
              <w:bottom w:val="single" w:sz="4" w:space="0" w:color="auto"/>
              <w:right w:val="single" w:sz="4" w:space="0" w:color="auto"/>
            </w:tcBorders>
            <w:shd w:val="clear" w:color="000000" w:fill="00B050"/>
            <w:noWrap/>
            <w:vAlign w:val="bottom"/>
            <w:hideMark/>
          </w:tcPr>
          <w:p w14:paraId="62CDB55A" w14:textId="4B930E34"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17.4</w:t>
            </w:r>
          </w:p>
        </w:tc>
      </w:tr>
      <w:tr w:rsidR="00C31AC3" w:rsidRPr="00736D6C" w14:paraId="716F62D4" w14:textId="77777777" w:rsidTr="00C31AC3">
        <w:trPr>
          <w:trHeight w:val="70"/>
          <w:jc w:val="center"/>
        </w:trPr>
        <w:tc>
          <w:tcPr>
            <w:tcW w:w="1620" w:type="dxa"/>
            <w:tcBorders>
              <w:top w:val="nil"/>
              <w:left w:val="single" w:sz="4" w:space="0" w:color="auto"/>
              <w:bottom w:val="single" w:sz="4" w:space="0" w:color="auto"/>
              <w:right w:val="single" w:sz="4" w:space="0" w:color="auto"/>
            </w:tcBorders>
            <w:shd w:val="clear" w:color="000000" w:fill="FFC000"/>
            <w:noWrap/>
            <w:vAlign w:val="bottom"/>
            <w:hideMark/>
          </w:tcPr>
          <w:p w14:paraId="5B4CC0E9" w14:textId="77777777" w:rsidR="00C31AC3" w:rsidRPr="00736D6C" w:rsidRDefault="00C31AC3" w:rsidP="00C31AC3">
            <w:pPr>
              <w:overflowPunct/>
              <w:autoSpaceDE/>
              <w:autoSpaceDN/>
              <w:adjustRightInd/>
              <w:spacing w:after="0"/>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lastRenderedPageBreak/>
              <w:t>20M2C078RB000</w:t>
            </w:r>
          </w:p>
        </w:tc>
        <w:tc>
          <w:tcPr>
            <w:tcW w:w="703" w:type="dxa"/>
            <w:vMerge/>
            <w:tcBorders>
              <w:top w:val="nil"/>
              <w:left w:val="single" w:sz="4" w:space="0" w:color="auto"/>
              <w:bottom w:val="single" w:sz="4" w:space="0" w:color="auto"/>
              <w:right w:val="single" w:sz="4" w:space="0" w:color="auto"/>
            </w:tcBorders>
            <w:vAlign w:val="center"/>
            <w:hideMark/>
          </w:tcPr>
          <w:p w14:paraId="2A91A1EF" w14:textId="77777777" w:rsidR="00C31AC3" w:rsidRPr="00736D6C" w:rsidRDefault="00C31AC3" w:rsidP="00C31AC3">
            <w:pPr>
              <w:overflowPunct/>
              <w:autoSpaceDE/>
              <w:autoSpaceDN/>
              <w:adjustRightInd/>
              <w:spacing w:after="0"/>
              <w:textAlignment w:val="auto"/>
              <w:rPr>
                <w:rFonts w:ascii="Calibri" w:hAnsi="Calibri" w:cs="Calibri"/>
                <w:color w:val="000000"/>
                <w:sz w:val="18"/>
                <w:szCs w:val="18"/>
                <w:lang w:val="en-US" w:eastAsia="en-US"/>
              </w:rPr>
            </w:pPr>
          </w:p>
        </w:tc>
        <w:tc>
          <w:tcPr>
            <w:tcW w:w="643" w:type="dxa"/>
            <w:tcBorders>
              <w:top w:val="nil"/>
              <w:left w:val="nil"/>
              <w:bottom w:val="single" w:sz="4" w:space="0" w:color="auto"/>
              <w:right w:val="single" w:sz="4" w:space="0" w:color="auto"/>
            </w:tcBorders>
            <w:shd w:val="clear" w:color="auto" w:fill="auto"/>
            <w:noWrap/>
            <w:vAlign w:val="bottom"/>
            <w:hideMark/>
          </w:tcPr>
          <w:p w14:paraId="2FFE07E5" w14:textId="77777777" w:rsidR="00C31AC3" w:rsidRPr="00736D6C" w:rsidRDefault="00C31AC3" w:rsidP="00C31AC3">
            <w:pPr>
              <w:overflowPunct/>
              <w:autoSpaceDE/>
              <w:autoSpaceDN/>
              <w:adjustRightInd/>
              <w:spacing w:after="0"/>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Outer</w:t>
            </w:r>
          </w:p>
        </w:tc>
        <w:tc>
          <w:tcPr>
            <w:tcW w:w="559" w:type="dxa"/>
            <w:tcBorders>
              <w:top w:val="nil"/>
              <w:left w:val="nil"/>
              <w:bottom w:val="single" w:sz="4" w:space="0" w:color="auto"/>
              <w:right w:val="single" w:sz="4" w:space="0" w:color="auto"/>
            </w:tcBorders>
            <w:shd w:val="clear" w:color="auto" w:fill="auto"/>
            <w:noWrap/>
            <w:vAlign w:val="bottom"/>
            <w:hideMark/>
          </w:tcPr>
          <w:p w14:paraId="3F81AD44"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24.5</w:t>
            </w:r>
          </w:p>
        </w:tc>
        <w:tc>
          <w:tcPr>
            <w:tcW w:w="625" w:type="dxa"/>
            <w:tcBorders>
              <w:top w:val="nil"/>
              <w:left w:val="nil"/>
              <w:bottom w:val="single" w:sz="4" w:space="0" w:color="auto"/>
              <w:right w:val="single" w:sz="4" w:space="0" w:color="auto"/>
            </w:tcBorders>
            <w:shd w:val="clear" w:color="000000" w:fill="FF0000"/>
            <w:noWrap/>
            <w:vAlign w:val="bottom"/>
            <w:hideMark/>
          </w:tcPr>
          <w:p w14:paraId="6CE0D1B5"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-8.5</w:t>
            </w:r>
          </w:p>
        </w:tc>
        <w:tc>
          <w:tcPr>
            <w:tcW w:w="540" w:type="dxa"/>
            <w:tcBorders>
              <w:top w:val="nil"/>
              <w:left w:val="nil"/>
              <w:bottom w:val="single" w:sz="4" w:space="0" w:color="auto"/>
              <w:right w:val="single" w:sz="4" w:space="0" w:color="auto"/>
            </w:tcBorders>
            <w:shd w:val="clear" w:color="000000" w:fill="FF0000"/>
            <w:noWrap/>
            <w:vAlign w:val="bottom"/>
            <w:hideMark/>
          </w:tcPr>
          <w:p w14:paraId="07D9FBF4"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-2.8</w:t>
            </w:r>
          </w:p>
        </w:tc>
        <w:tc>
          <w:tcPr>
            <w:tcW w:w="536" w:type="dxa"/>
            <w:tcBorders>
              <w:top w:val="nil"/>
              <w:left w:val="nil"/>
              <w:bottom w:val="single" w:sz="4" w:space="0" w:color="auto"/>
              <w:right w:val="single" w:sz="4" w:space="0" w:color="auto"/>
            </w:tcBorders>
            <w:shd w:val="clear" w:color="000000" w:fill="00B050"/>
            <w:noWrap/>
            <w:vAlign w:val="bottom"/>
            <w:hideMark/>
          </w:tcPr>
          <w:p w14:paraId="50A36208"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5.8</w:t>
            </w:r>
          </w:p>
        </w:tc>
        <w:tc>
          <w:tcPr>
            <w:tcW w:w="536" w:type="dxa"/>
            <w:tcBorders>
              <w:top w:val="nil"/>
              <w:left w:val="nil"/>
              <w:bottom w:val="single" w:sz="4" w:space="0" w:color="auto"/>
              <w:right w:val="single" w:sz="4" w:space="0" w:color="auto"/>
            </w:tcBorders>
            <w:shd w:val="clear" w:color="000000" w:fill="00B050"/>
            <w:noWrap/>
            <w:vAlign w:val="bottom"/>
            <w:hideMark/>
          </w:tcPr>
          <w:p w14:paraId="26F4B50F"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11.3</w:t>
            </w:r>
          </w:p>
        </w:tc>
        <w:tc>
          <w:tcPr>
            <w:tcW w:w="625" w:type="dxa"/>
            <w:tcBorders>
              <w:top w:val="nil"/>
              <w:left w:val="nil"/>
              <w:bottom w:val="single" w:sz="4" w:space="0" w:color="auto"/>
              <w:right w:val="single" w:sz="4" w:space="0" w:color="auto"/>
            </w:tcBorders>
            <w:shd w:val="clear" w:color="000000" w:fill="FF0000"/>
            <w:noWrap/>
            <w:vAlign w:val="bottom"/>
            <w:hideMark/>
          </w:tcPr>
          <w:p w14:paraId="14D2C65C" w14:textId="59B001EB"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-4.8</w:t>
            </w:r>
          </w:p>
        </w:tc>
        <w:tc>
          <w:tcPr>
            <w:tcW w:w="625" w:type="dxa"/>
            <w:tcBorders>
              <w:top w:val="nil"/>
              <w:left w:val="nil"/>
              <w:bottom w:val="single" w:sz="4" w:space="0" w:color="auto"/>
              <w:right w:val="single" w:sz="4" w:space="0" w:color="auto"/>
            </w:tcBorders>
            <w:shd w:val="clear" w:color="000000" w:fill="FFFF00"/>
            <w:noWrap/>
            <w:vAlign w:val="bottom"/>
            <w:hideMark/>
          </w:tcPr>
          <w:p w14:paraId="75107CF4" w14:textId="3A0D1322"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0.3</w:t>
            </w:r>
          </w:p>
        </w:tc>
        <w:tc>
          <w:tcPr>
            <w:tcW w:w="625" w:type="dxa"/>
            <w:tcBorders>
              <w:top w:val="nil"/>
              <w:left w:val="nil"/>
              <w:bottom w:val="single" w:sz="4" w:space="0" w:color="auto"/>
              <w:right w:val="single" w:sz="4" w:space="0" w:color="auto"/>
            </w:tcBorders>
            <w:shd w:val="clear" w:color="000000" w:fill="00B050"/>
            <w:noWrap/>
            <w:vAlign w:val="bottom"/>
            <w:hideMark/>
          </w:tcPr>
          <w:p w14:paraId="14968C10" w14:textId="022F05B8"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6.7</w:t>
            </w:r>
          </w:p>
        </w:tc>
        <w:tc>
          <w:tcPr>
            <w:tcW w:w="553" w:type="dxa"/>
            <w:tcBorders>
              <w:top w:val="nil"/>
              <w:left w:val="nil"/>
              <w:bottom w:val="single" w:sz="4" w:space="0" w:color="auto"/>
              <w:right w:val="single" w:sz="4" w:space="0" w:color="auto"/>
            </w:tcBorders>
            <w:shd w:val="clear" w:color="000000" w:fill="00B050"/>
            <w:noWrap/>
            <w:vAlign w:val="bottom"/>
            <w:hideMark/>
          </w:tcPr>
          <w:p w14:paraId="6E87F92F" w14:textId="1BC03635"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10.6</w:t>
            </w:r>
          </w:p>
        </w:tc>
      </w:tr>
      <w:tr w:rsidR="00C31AC3" w:rsidRPr="00736D6C" w14:paraId="55B16E81" w14:textId="77777777" w:rsidTr="00C31AC3">
        <w:trPr>
          <w:trHeight w:val="70"/>
          <w:jc w:val="center"/>
        </w:trPr>
        <w:tc>
          <w:tcPr>
            <w:tcW w:w="1620" w:type="dxa"/>
            <w:tcBorders>
              <w:top w:val="nil"/>
              <w:left w:val="single" w:sz="4" w:space="0" w:color="auto"/>
              <w:bottom w:val="single" w:sz="4" w:space="0" w:color="auto"/>
              <w:right w:val="single" w:sz="4" w:space="0" w:color="auto"/>
            </w:tcBorders>
            <w:shd w:val="clear" w:color="000000" w:fill="FFC000"/>
            <w:noWrap/>
            <w:vAlign w:val="bottom"/>
            <w:hideMark/>
          </w:tcPr>
          <w:p w14:paraId="592F4870" w14:textId="77777777" w:rsidR="00C31AC3" w:rsidRPr="00736D6C" w:rsidRDefault="00C31AC3" w:rsidP="00C31AC3">
            <w:pPr>
              <w:overflowPunct/>
              <w:autoSpaceDE/>
              <w:autoSpaceDN/>
              <w:adjustRightInd/>
              <w:spacing w:after="0"/>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20M2C078RB014</w:t>
            </w:r>
          </w:p>
        </w:tc>
        <w:tc>
          <w:tcPr>
            <w:tcW w:w="703" w:type="dxa"/>
            <w:vMerge/>
            <w:tcBorders>
              <w:top w:val="nil"/>
              <w:left w:val="single" w:sz="4" w:space="0" w:color="auto"/>
              <w:bottom w:val="single" w:sz="4" w:space="0" w:color="auto"/>
              <w:right w:val="single" w:sz="4" w:space="0" w:color="auto"/>
            </w:tcBorders>
            <w:vAlign w:val="center"/>
            <w:hideMark/>
          </w:tcPr>
          <w:p w14:paraId="05FAE069" w14:textId="77777777" w:rsidR="00C31AC3" w:rsidRPr="00736D6C" w:rsidRDefault="00C31AC3" w:rsidP="00C31AC3">
            <w:pPr>
              <w:overflowPunct/>
              <w:autoSpaceDE/>
              <w:autoSpaceDN/>
              <w:adjustRightInd/>
              <w:spacing w:after="0"/>
              <w:textAlignment w:val="auto"/>
              <w:rPr>
                <w:rFonts w:ascii="Calibri" w:hAnsi="Calibri" w:cs="Calibri"/>
                <w:color w:val="000000"/>
                <w:sz w:val="18"/>
                <w:szCs w:val="18"/>
                <w:lang w:val="en-US" w:eastAsia="en-US"/>
              </w:rPr>
            </w:pPr>
          </w:p>
        </w:tc>
        <w:tc>
          <w:tcPr>
            <w:tcW w:w="643" w:type="dxa"/>
            <w:tcBorders>
              <w:top w:val="nil"/>
              <w:left w:val="nil"/>
              <w:bottom w:val="single" w:sz="4" w:space="0" w:color="auto"/>
              <w:right w:val="single" w:sz="4" w:space="0" w:color="auto"/>
            </w:tcBorders>
            <w:shd w:val="clear" w:color="auto" w:fill="auto"/>
            <w:noWrap/>
            <w:vAlign w:val="bottom"/>
            <w:hideMark/>
          </w:tcPr>
          <w:p w14:paraId="047FC8F5" w14:textId="77777777" w:rsidR="00C31AC3" w:rsidRPr="00736D6C" w:rsidRDefault="00C31AC3" w:rsidP="00C31AC3">
            <w:pPr>
              <w:overflowPunct/>
              <w:autoSpaceDE/>
              <w:autoSpaceDN/>
              <w:adjustRightInd/>
              <w:spacing w:after="0"/>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Outer</w:t>
            </w:r>
          </w:p>
        </w:tc>
        <w:tc>
          <w:tcPr>
            <w:tcW w:w="559" w:type="dxa"/>
            <w:tcBorders>
              <w:top w:val="nil"/>
              <w:left w:val="nil"/>
              <w:bottom w:val="single" w:sz="4" w:space="0" w:color="auto"/>
              <w:right w:val="single" w:sz="4" w:space="0" w:color="auto"/>
            </w:tcBorders>
            <w:shd w:val="clear" w:color="auto" w:fill="auto"/>
            <w:noWrap/>
            <w:vAlign w:val="bottom"/>
            <w:hideMark/>
          </w:tcPr>
          <w:p w14:paraId="354D03F2"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24.5</w:t>
            </w:r>
          </w:p>
        </w:tc>
        <w:tc>
          <w:tcPr>
            <w:tcW w:w="625" w:type="dxa"/>
            <w:tcBorders>
              <w:top w:val="nil"/>
              <w:left w:val="nil"/>
              <w:bottom w:val="single" w:sz="4" w:space="0" w:color="auto"/>
              <w:right w:val="single" w:sz="4" w:space="0" w:color="auto"/>
            </w:tcBorders>
            <w:shd w:val="clear" w:color="000000" w:fill="FF0000"/>
            <w:noWrap/>
            <w:vAlign w:val="bottom"/>
            <w:hideMark/>
          </w:tcPr>
          <w:p w14:paraId="669D2371"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-4.7</w:t>
            </w:r>
          </w:p>
        </w:tc>
        <w:tc>
          <w:tcPr>
            <w:tcW w:w="540" w:type="dxa"/>
            <w:tcBorders>
              <w:top w:val="nil"/>
              <w:left w:val="nil"/>
              <w:bottom w:val="single" w:sz="4" w:space="0" w:color="auto"/>
              <w:right w:val="single" w:sz="4" w:space="0" w:color="auto"/>
            </w:tcBorders>
            <w:shd w:val="clear" w:color="000000" w:fill="FF0000"/>
            <w:noWrap/>
            <w:vAlign w:val="bottom"/>
            <w:hideMark/>
          </w:tcPr>
          <w:p w14:paraId="35659FA9"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-5.1</w:t>
            </w:r>
          </w:p>
        </w:tc>
        <w:tc>
          <w:tcPr>
            <w:tcW w:w="536" w:type="dxa"/>
            <w:tcBorders>
              <w:top w:val="nil"/>
              <w:left w:val="nil"/>
              <w:bottom w:val="single" w:sz="4" w:space="0" w:color="auto"/>
              <w:right w:val="single" w:sz="4" w:space="0" w:color="auto"/>
            </w:tcBorders>
            <w:shd w:val="clear" w:color="000000" w:fill="00B050"/>
            <w:noWrap/>
            <w:vAlign w:val="bottom"/>
            <w:hideMark/>
          </w:tcPr>
          <w:p w14:paraId="16AAE8AB"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11.0</w:t>
            </w:r>
          </w:p>
        </w:tc>
        <w:tc>
          <w:tcPr>
            <w:tcW w:w="536" w:type="dxa"/>
            <w:tcBorders>
              <w:top w:val="nil"/>
              <w:left w:val="nil"/>
              <w:bottom w:val="single" w:sz="4" w:space="0" w:color="auto"/>
              <w:right w:val="single" w:sz="4" w:space="0" w:color="auto"/>
            </w:tcBorders>
            <w:shd w:val="clear" w:color="000000" w:fill="00B050"/>
            <w:noWrap/>
            <w:vAlign w:val="bottom"/>
            <w:hideMark/>
          </w:tcPr>
          <w:p w14:paraId="35ACAC88"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10.0</w:t>
            </w:r>
          </w:p>
        </w:tc>
        <w:tc>
          <w:tcPr>
            <w:tcW w:w="625" w:type="dxa"/>
            <w:tcBorders>
              <w:top w:val="nil"/>
              <w:left w:val="nil"/>
              <w:bottom w:val="single" w:sz="4" w:space="0" w:color="auto"/>
              <w:right w:val="single" w:sz="4" w:space="0" w:color="auto"/>
            </w:tcBorders>
            <w:shd w:val="clear" w:color="000000" w:fill="FF0000"/>
            <w:noWrap/>
            <w:vAlign w:val="bottom"/>
            <w:hideMark/>
          </w:tcPr>
          <w:p w14:paraId="3C63B107" w14:textId="7FEDD8E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-2.4</w:t>
            </w:r>
          </w:p>
        </w:tc>
        <w:tc>
          <w:tcPr>
            <w:tcW w:w="625" w:type="dxa"/>
            <w:tcBorders>
              <w:top w:val="nil"/>
              <w:left w:val="nil"/>
              <w:bottom w:val="single" w:sz="4" w:space="0" w:color="auto"/>
              <w:right w:val="single" w:sz="4" w:space="0" w:color="auto"/>
            </w:tcBorders>
            <w:shd w:val="clear" w:color="000000" w:fill="FF0000"/>
            <w:noWrap/>
            <w:vAlign w:val="bottom"/>
            <w:hideMark/>
          </w:tcPr>
          <w:p w14:paraId="578B284B" w14:textId="3BFD77FB"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-4.1</w:t>
            </w:r>
          </w:p>
        </w:tc>
        <w:tc>
          <w:tcPr>
            <w:tcW w:w="625" w:type="dxa"/>
            <w:tcBorders>
              <w:top w:val="nil"/>
              <w:left w:val="nil"/>
              <w:bottom w:val="single" w:sz="4" w:space="0" w:color="auto"/>
              <w:right w:val="single" w:sz="4" w:space="0" w:color="auto"/>
            </w:tcBorders>
            <w:shd w:val="clear" w:color="000000" w:fill="00B050"/>
            <w:noWrap/>
            <w:vAlign w:val="bottom"/>
            <w:hideMark/>
          </w:tcPr>
          <w:p w14:paraId="10959B6B" w14:textId="7E7CFB41"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9.9</w:t>
            </w:r>
          </w:p>
        </w:tc>
        <w:tc>
          <w:tcPr>
            <w:tcW w:w="553" w:type="dxa"/>
            <w:tcBorders>
              <w:top w:val="nil"/>
              <w:left w:val="nil"/>
              <w:bottom w:val="single" w:sz="4" w:space="0" w:color="auto"/>
              <w:right w:val="single" w:sz="4" w:space="0" w:color="auto"/>
            </w:tcBorders>
            <w:shd w:val="clear" w:color="000000" w:fill="00B050"/>
            <w:noWrap/>
            <w:vAlign w:val="bottom"/>
            <w:hideMark/>
          </w:tcPr>
          <w:p w14:paraId="56780700" w14:textId="2A1B600F"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10.6</w:t>
            </w:r>
          </w:p>
        </w:tc>
      </w:tr>
      <w:tr w:rsidR="00C31AC3" w:rsidRPr="00736D6C" w14:paraId="3614A133" w14:textId="77777777" w:rsidTr="00C31AC3">
        <w:trPr>
          <w:trHeight w:val="70"/>
          <w:jc w:val="center"/>
        </w:trPr>
        <w:tc>
          <w:tcPr>
            <w:tcW w:w="1620" w:type="dxa"/>
            <w:tcBorders>
              <w:top w:val="nil"/>
              <w:left w:val="single" w:sz="4" w:space="0" w:color="auto"/>
              <w:bottom w:val="single" w:sz="4" w:space="0" w:color="auto"/>
              <w:right w:val="single" w:sz="4" w:space="0" w:color="auto"/>
            </w:tcBorders>
            <w:shd w:val="clear" w:color="000000" w:fill="FFC000"/>
            <w:noWrap/>
            <w:vAlign w:val="bottom"/>
            <w:hideMark/>
          </w:tcPr>
          <w:p w14:paraId="12E92D19" w14:textId="77777777" w:rsidR="00C31AC3" w:rsidRPr="00736D6C" w:rsidRDefault="00C31AC3" w:rsidP="00C31AC3">
            <w:pPr>
              <w:overflowPunct/>
              <w:autoSpaceDE/>
              <w:autoSpaceDN/>
              <w:adjustRightInd/>
              <w:spacing w:after="0"/>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20M2C106RB000</w:t>
            </w:r>
          </w:p>
        </w:tc>
        <w:tc>
          <w:tcPr>
            <w:tcW w:w="703" w:type="dxa"/>
            <w:vMerge/>
            <w:tcBorders>
              <w:top w:val="nil"/>
              <w:left w:val="single" w:sz="4" w:space="0" w:color="auto"/>
              <w:bottom w:val="single" w:sz="4" w:space="0" w:color="auto"/>
              <w:right w:val="single" w:sz="4" w:space="0" w:color="auto"/>
            </w:tcBorders>
            <w:vAlign w:val="center"/>
            <w:hideMark/>
          </w:tcPr>
          <w:p w14:paraId="1673D095" w14:textId="77777777" w:rsidR="00C31AC3" w:rsidRPr="00736D6C" w:rsidRDefault="00C31AC3" w:rsidP="00C31AC3">
            <w:pPr>
              <w:overflowPunct/>
              <w:autoSpaceDE/>
              <w:autoSpaceDN/>
              <w:adjustRightInd/>
              <w:spacing w:after="0"/>
              <w:textAlignment w:val="auto"/>
              <w:rPr>
                <w:rFonts w:ascii="Calibri" w:hAnsi="Calibri" w:cs="Calibri"/>
                <w:color w:val="000000"/>
                <w:sz w:val="18"/>
                <w:szCs w:val="18"/>
                <w:lang w:val="en-US" w:eastAsia="en-US"/>
              </w:rPr>
            </w:pPr>
          </w:p>
        </w:tc>
        <w:tc>
          <w:tcPr>
            <w:tcW w:w="643" w:type="dxa"/>
            <w:tcBorders>
              <w:top w:val="nil"/>
              <w:left w:val="nil"/>
              <w:bottom w:val="single" w:sz="4" w:space="0" w:color="auto"/>
              <w:right w:val="single" w:sz="4" w:space="0" w:color="auto"/>
            </w:tcBorders>
            <w:shd w:val="clear" w:color="auto" w:fill="auto"/>
            <w:noWrap/>
            <w:vAlign w:val="bottom"/>
            <w:hideMark/>
          </w:tcPr>
          <w:p w14:paraId="741595F4" w14:textId="77777777" w:rsidR="00C31AC3" w:rsidRPr="00736D6C" w:rsidRDefault="00C31AC3" w:rsidP="00C31AC3">
            <w:pPr>
              <w:overflowPunct/>
              <w:autoSpaceDE/>
              <w:autoSpaceDN/>
              <w:adjustRightInd/>
              <w:spacing w:after="0"/>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Outer</w:t>
            </w:r>
          </w:p>
        </w:tc>
        <w:tc>
          <w:tcPr>
            <w:tcW w:w="559" w:type="dxa"/>
            <w:tcBorders>
              <w:top w:val="nil"/>
              <w:left w:val="nil"/>
              <w:bottom w:val="single" w:sz="4" w:space="0" w:color="auto"/>
              <w:right w:val="single" w:sz="4" w:space="0" w:color="auto"/>
            </w:tcBorders>
            <w:shd w:val="clear" w:color="auto" w:fill="auto"/>
            <w:noWrap/>
            <w:vAlign w:val="bottom"/>
            <w:hideMark/>
          </w:tcPr>
          <w:p w14:paraId="7B26A9D3"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24.5</w:t>
            </w:r>
          </w:p>
        </w:tc>
        <w:tc>
          <w:tcPr>
            <w:tcW w:w="625" w:type="dxa"/>
            <w:tcBorders>
              <w:top w:val="nil"/>
              <w:left w:val="nil"/>
              <w:bottom w:val="single" w:sz="4" w:space="0" w:color="auto"/>
              <w:right w:val="single" w:sz="4" w:space="0" w:color="auto"/>
            </w:tcBorders>
            <w:shd w:val="clear" w:color="000000" w:fill="FF0000"/>
            <w:noWrap/>
            <w:vAlign w:val="bottom"/>
            <w:hideMark/>
          </w:tcPr>
          <w:p w14:paraId="154DEAFB"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-9.2</w:t>
            </w:r>
          </w:p>
        </w:tc>
        <w:tc>
          <w:tcPr>
            <w:tcW w:w="540" w:type="dxa"/>
            <w:tcBorders>
              <w:top w:val="nil"/>
              <w:left w:val="nil"/>
              <w:bottom w:val="single" w:sz="4" w:space="0" w:color="auto"/>
              <w:right w:val="single" w:sz="4" w:space="0" w:color="auto"/>
            </w:tcBorders>
            <w:shd w:val="clear" w:color="000000" w:fill="FF0000"/>
            <w:noWrap/>
            <w:vAlign w:val="bottom"/>
            <w:hideMark/>
          </w:tcPr>
          <w:p w14:paraId="693C653D"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-8.5</w:t>
            </w:r>
          </w:p>
        </w:tc>
        <w:tc>
          <w:tcPr>
            <w:tcW w:w="536" w:type="dxa"/>
            <w:tcBorders>
              <w:top w:val="nil"/>
              <w:left w:val="nil"/>
              <w:bottom w:val="single" w:sz="4" w:space="0" w:color="auto"/>
              <w:right w:val="single" w:sz="4" w:space="0" w:color="auto"/>
            </w:tcBorders>
            <w:shd w:val="clear" w:color="000000" w:fill="FFFF00"/>
            <w:noWrap/>
            <w:vAlign w:val="bottom"/>
            <w:hideMark/>
          </w:tcPr>
          <w:p w14:paraId="4D04CEFE"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0.5</w:t>
            </w:r>
          </w:p>
        </w:tc>
        <w:tc>
          <w:tcPr>
            <w:tcW w:w="536" w:type="dxa"/>
            <w:tcBorders>
              <w:top w:val="nil"/>
              <w:left w:val="nil"/>
              <w:bottom w:val="single" w:sz="4" w:space="0" w:color="auto"/>
              <w:right w:val="single" w:sz="4" w:space="0" w:color="auto"/>
            </w:tcBorders>
            <w:shd w:val="clear" w:color="000000" w:fill="FFFF00"/>
            <w:noWrap/>
            <w:vAlign w:val="bottom"/>
            <w:hideMark/>
          </w:tcPr>
          <w:p w14:paraId="4C85CD73"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0.3</w:t>
            </w:r>
          </w:p>
        </w:tc>
        <w:tc>
          <w:tcPr>
            <w:tcW w:w="625" w:type="dxa"/>
            <w:tcBorders>
              <w:top w:val="nil"/>
              <w:left w:val="nil"/>
              <w:bottom w:val="single" w:sz="4" w:space="0" w:color="auto"/>
              <w:right w:val="single" w:sz="4" w:space="0" w:color="auto"/>
            </w:tcBorders>
            <w:shd w:val="clear" w:color="000000" w:fill="FF0000"/>
            <w:noWrap/>
            <w:vAlign w:val="bottom"/>
            <w:hideMark/>
          </w:tcPr>
          <w:p w14:paraId="44279330" w14:textId="126080CA"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-5.4</w:t>
            </w:r>
          </w:p>
        </w:tc>
        <w:tc>
          <w:tcPr>
            <w:tcW w:w="625" w:type="dxa"/>
            <w:tcBorders>
              <w:top w:val="nil"/>
              <w:left w:val="nil"/>
              <w:bottom w:val="single" w:sz="4" w:space="0" w:color="auto"/>
              <w:right w:val="single" w:sz="4" w:space="0" w:color="auto"/>
            </w:tcBorders>
            <w:shd w:val="clear" w:color="000000" w:fill="FF0000"/>
            <w:noWrap/>
            <w:vAlign w:val="bottom"/>
            <w:hideMark/>
          </w:tcPr>
          <w:p w14:paraId="3D466D2F" w14:textId="0AC0F4DA"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-5.4</w:t>
            </w:r>
          </w:p>
        </w:tc>
        <w:tc>
          <w:tcPr>
            <w:tcW w:w="625" w:type="dxa"/>
            <w:tcBorders>
              <w:top w:val="nil"/>
              <w:left w:val="nil"/>
              <w:bottom w:val="single" w:sz="4" w:space="0" w:color="auto"/>
              <w:right w:val="single" w:sz="4" w:space="0" w:color="auto"/>
            </w:tcBorders>
            <w:shd w:val="clear" w:color="000000" w:fill="FFFF00"/>
            <w:noWrap/>
            <w:vAlign w:val="bottom"/>
            <w:hideMark/>
          </w:tcPr>
          <w:p w14:paraId="51D76842" w14:textId="2730DE0E"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2.1</w:t>
            </w:r>
          </w:p>
        </w:tc>
        <w:tc>
          <w:tcPr>
            <w:tcW w:w="553" w:type="dxa"/>
            <w:tcBorders>
              <w:top w:val="nil"/>
              <w:left w:val="nil"/>
              <w:bottom w:val="single" w:sz="4" w:space="0" w:color="auto"/>
              <w:right w:val="single" w:sz="4" w:space="0" w:color="auto"/>
            </w:tcBorders>
            <w:shd w:val="clear" w:color="000000" w:fill="FFFF00"/>
            <w:noWrap/>
            <w:vAlign w:val="bottom"/>
            <w:hideMark/>
          </w:tcPr>
          <w:p w14:paraId="4FC7910E" w14:textId="2210D64F"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1.7</w:t>
            </w:r>
          </w:p>
        </w:tc>
      </w:tr>
      <w:tr w:rsidR="00C31AC3" w:rsidRPr="00736D6C" w14:paraId="43092C34" w14:textId="77777777" w:rsidTr="00C31AC3">
        <w:trPr>
          <w:trHeight w:val="70"/>
          <w:jc w:val="center"/>
        </w:trPr>
        <w:tc>
          <w:tcPr>
            <w:tcW w:w="1620" w:type="dxa"/>
            <w:tcBorders>
              <w:top w:val="nil"/>
              <w:left w:val="single" w:sz="4" w:space="0" w:color="auto"/>
              <w:bottom w:val="single" w:sz="4" w:space="0" w:color="auto"/>
              <w:right w:val="single" w:sz="4" w:space="0" w:color="auto"/>
            </w:tcBorders>
            <w:shd w:val="clear" w:color="000000" w:fill="FFFF00"/>
            <w:noWrap/>
            <w:vAlign w:val="bottom"/>
            <w:hideMark/>
          </w:tcPr>
          <w:p w14:paraId="5078F692" w14:textId="77777777" w:rsidR="00C31AC3" w:rsidRPr="00736D6C" w:rsidRDefault="00C31AC3" w:rsidP="00C31AC3">
            <w:pPr>
              <w:overflowPunct/>
              <w:autoSpaceDE/>
              <w:autoSpaceDN/>
              <w:adjustRightInd/>
              <w:spacing w:after="0"/>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20M2D001RB000</w:t>
            </w:r>
          </w:p>
        </w:tc>
        <w:tc>
          <w:tcPr>
            <w:tcW w:w="703"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4B981F19" w14:textId="77777777" w:rsidR="00C31AC3" w:rsidRPr="00736D6C" w:rsidRDefault="00C31AC3" w:rsidP="00C31AC3">
            <w:pPr>
              <w:overflowPunct/>
              <w:autoSpaceDE/>
              <w:autoSpaceDN/>
              <w:adjustRightInd/>
              <w:spacing w:after="0"/>
              <w:jc w:val="center"/>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DFT-s-OFDM</w:t>
            </w:r>
          </w:p>
        </w:tc>
        <w:tc>
          <w:tcPr>
            <w:tcW w:w="643" w:type="dxa"/>
            <w:tcBorders>
              <w:top w:val="nil"/>
              <w:left w:val="nil"/>
              <w:bottom w:val="single" w:sz="4" w:space="0" w:color="auto"/>
              <w:right w:val="single" w:sz="4" w:space="0" w:color="auto"/>
            </w:tcBorders>
            <w:shd w:val="clear" w:color="auto" w:fill="auto"/>
            <w:noWrap/>
            <w:vAlign w:val="bottom"/>
            <w:hideMark/>
          </w:tcPr>
          <w:p w14:paraId="25EDD6AE" w14:textId="77777777" w:rsidR="00C31AC3" w:rsidRPr="00736D6C" w:rsidRDefault="00C31AC3" w:rsidP="00C31AC3">
            <w:pPr>
              <w:overflowPunct/>
              <w:autoSpaceDE/>
              <w:autoSpaceDN/>
              <w:adjustRightInd/>
              <w:spacing w:after="0"/>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Edge</w:t>
            </w:r>
          </w:p>
        </w:tc>
        <w:tc>
          <w:tcPr>
            <w:tcW w:w="559" w:type="dxa"/>
            <w:tcBorders>
              <w:top w:val="nil"/>
              <w:left w:val="nil"/>
              <w:bottom w:val="single" w:sz="4" w:space="0" w:color="auto"/>
              <w:right w:val="single" w:sz="4" w:space="0" w:color="auto"/>
            </w:tcBorders>
            <w:shd w:val="clear" w:color="auto" w:fill="auto"/>
            <w:noWrap/>
            <w:vAlign w:val="bottom"/>
            <w:hideMark/>
          </w:tcPr>
          <w:p w14:paraId="30518776"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26</w:t>
            </w:r>
          </w:p>
        </w:tc>
        <w:tc>
          <w:tcPr>
            <w:tcW w:w="625" w:type="dxa"/>
            <w:tcBorders>
              <w:top w:val="nil"/>
              <w:left w:val="nil"/>
              <w:bottom w:val="single" w:sz="4" w:space="0" w:color="auto"/>
              <w:right w:val="single" w:sz="4" w:space="0" w:color="auto"/>
            </w:tcBorders>
            <w:shd w:val="clear" w:color="000000" w:fill="92D050"/>
            <w:noWrap/>
            <w:vAlign w:val="bottom"/>
            <w:hideMark/>
          </w:tcPr>
          <w:p w14:paraId="42C680D3"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4.7</w:t>
            </w:r>
          </w:p>
        </w:tc>
        <w:tc>
          <w:tcPr>
            <w:tcW w:w="540" w:type="dxa"/>
            <w:tcBorders>
              <w:top w:val="nil"/>
              <w:left w:val="nil"/>
              <w:bottom w:val="single" w:sz="4" w:space="0" w:color="auto"/>
              <w:right w:val="single" w:sz="4" w:space="0" w:color="auto"/>
            </w:tcBorders>
            <w:shd w:val="clear" w:color="000000" w:fill="92D050"/>
            <w:noWrap/>
            <w:vAlign w:val="bottom"/>
            <w:hideMark/>
          </w:tcPr>
          <w:p w14:paraId="5448F904"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28.1</w:t>
            </w:r>
          </w:p>
        </w:tc>
        <w:tc>
          <w:tcPr>
            <w:tcW w:w="536" w:type="dxa"/>
            <w:tcBorders>
              <w:top w:val="nil"/>
              <w:left w:val="nil"/>
              <w:bottom w:val="single" w:sz="4" w:space="0" w:color="auto"/>
              <w:right w:val="single" w:sz="4" w:space="0" w:color="auto"/>
            </w:tcBorders>
            <w:shd w:val="clear" w:color="000000" w:fill="00B050"/>
            <w:noWrap/>
            <w:vAlign w:val="bottom"/>
            <w:hideMark/>
          </w:tcPr>
          <w:p w14:paraId="0E85EA8B"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6.8</w:t>
            </w:r>
          </w:p>
        </w:tc>
        <w:tc>
          <w:tcPr>
            <w:tcW w:w="536" w:type="dxa"/>
            <w:tcBorders>
              <w:top w:val="nil"/>
              <w:left w:val="nil"/>
              <w:bottom w:val="single" w:sz="4" w:space="0" w:color="auto"/>
              <w:right w:val="single" w:sz="4" w:space="0" w:color="auto"/>
            </w:tcBorders>
            <w:shd w:val="clear" w:color="000000" w:fill="00B050"/>
            <w:noWrap/>
            <w:vAlign w:val="bottom"/>
            <w:hideMark/>
          </w:tcPr>
          <w:p w14:paraId="4283930A"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30.6</w:t>
            </w:r>
          </w:p>
        </w:tc>
        <w:tc>
          <w:tcPr>
            <w:tcW w:w="625" w:type="dxa"/>
            <w:tcBorders>
              <w:top w:val="nil"/>
              <w:left w:val="nil"/>
              <w:bottom w:val="single" w:sz="4" w:space="0" w:color="auto"/>
              <w:right w:val="single" w:sz="4" w:space="0" w:color="auto"/>
            </w:tcBorders>
            <w:shd w:val="clear" w:color="000000" w:fill="FF0000"/>
            <w:noWrap/>
            <w:vAlign w:val="bottom"/>
            <w:hideMark/>
          </w:tcPr>
          <w:p w14:paraId="4CACB77B" w14:textId="6F22B2D8"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-0.9</w:t>
            </w:r>
          </w:p>
        </w:tc>
        <w:tc>
          <w:tcPr>
            <w:tcW w:w="625" w:type="dxa"/>
            <w:tcBorders>
              <w:top w:val="nil"/>
              <w:left w:val="nil"/>
              <w:bottom w:val="single" w:sz="4" w:space="0" w:color="auto"/>
              <w:right w:val="single" w:sz="4" w:space="0" w:color="auto"/>
            </w:tcBorders>
            <w:shd w:val="clear" w:color="000000" w:fill="92D050"/>
            <w:noWrap/>
            <w:vAlign w:val="bottom"/>
            <w:hideMark/>
          </w:tcPr>
          <w:p w14:paraId="1907C327" w14:textId="627D146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19.0</w:t>
            </w:r>
          </w:p>
        </w:tc>
        <w:tc>
          <w:tcPr>
            <w:tcW w:w="625" w:type="dxa"/>
            <w:tcBorders>
              <w:top w:val="nil"/>
              <w:left w:val="nil"/>
              <w:bottom w:val="single" w:sz="4" w:space="0" w:color="auto"/>
              <w:right w:val="single" w:sz="4" w:space="0" w:color="auto"/>
            </w:tcBorders>
            <w:shd w:val="clear" w:color="000000" w:fill="00B050"/>
            <w:noWrap/>
            <w:vAlign w:val="bottom"/>
            <w:hideMark/>
          </w:tcPr>
          <w:p w14:paraId="59D65DFF" w14:textId="44815138"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11.2</w:t>
            </w:r>
          </w:p>
        </w:tc>
        <w:tc>
          <w:tcPr>
            <w:tcW w:w="553" w:type="dxa"/>
            <w:tcBorders>
              <w:top w:val="nil"/>
              <w:left w:val="nil"/>
              <w:bottom w:val="single" w:sz="4" w:space="0" w:color="auto"/>
              <w:right w:val="single" w:sz="4" w:space="0" w:color="auto"/>
            </w:tcBorders>
            <w:shd w:val="clear" w:color="000000" w:fill="00B050"/>
            <w:noWrap/>
            <w:vAlign w:val="bottom"/>
            <w:hideMark/>
          </w:tcPr>
          <w:p w14:paraId="0FE0EDA2" w14:textId="4A213E13"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18.8</w:t>
            </w:r>
          </w:p>
        </w:tc>
      </w:tr>
      <w:tr w:rsidR="00C31AC3" w:rsidRPr="00736D6C" w14:paraId="093CCF80" w14:textId="77777777" w:rsidTr="00C31AC3">
        <w:trPr>
          <w:trHeight w:val="70"/>
          <w:jc w:val="center"/>
        </w:trPr>
        <w:tc>
          <w:tcPr>
            <w:tcW w:w="1620" w:type="dxa"/>
            <w:tcBorders>
              <w:top w:val="nil"/>
              <w:left w:val="single" w:sz="4" w:space="0" w:color="auto"/>
              <w:bottom w:val="single" w:sz="4" w:space="0" w:color="auto"/>
              <w:right w:val="single" w:sz="4" w:space="0" w:color="auto"/>
            </w:tcBorders>
            <w:shd w:val="clear" w:color="000000" w:fill="92D050"/>
            <w:noWrap/>
            <w:vAlign w:val="bottom"/>
            <w:hideMark/>
          </w:tcPr>
          <w:p w14:paraId="51F1A440" w14:textId="77777777" w:rsidR="00C31AC3" w:rsidRPr="00736D6C" w:rsidRDefault="00C31AC3" w:rsidP="00C31AC3">
            <w:pPr>
              <w:overflowPunct/>
              <w:autoSpaceDE/>
              <w:autoSpaceDN/>
              <w:adjustRightInd/>
              <w:spacing w:after="0"/>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20M2D001RB001</w:t>
            </w:r>
          </w:p>
        </w:tc>
        <w:tc>
          <w:tcPr>
            <w:tcW w:w="703" w:type="dxa"/>
            <w:vMerge/>
            <w:tcBorders>
              <w:top w:val="nil"/>
              <w:left w:val="single" w:sz="4" w:space="0" w:color="auto"/>
              <w:bottom w:val="single" w:sz="4" w:space="0" w:color="auto"/>
              <w:right w:val="single" w:sz="4" w:space="0" w:color="auto"/>
            </w:tcBorders>
            <w:vAlign w:val="center"/>
            <w:hideMark/>
          </w:tcPr>
          <w:p w14:paraId="3E371187" w14:textId="77777777" w:rsidR="00C31AC3" w:rsidRPr="00736D6C" w:rsidRDefault="00C31AC3" w:rsidP="00C31AC3">
            <w:pPr>
              <w:overflowPunct/>
              <w:autoSpaceDE/>
              <w:autoSpaceDN/>
              <w:adjustRightInd/>
              <w:spacing w:after="0"/>
              <w:textAlignment w:val="auto"/>
              <w:rPr>
                <w:rFonts w:ascii="Calibri" w:hAnsi="Calibri" w:cs="Calibri"/>
                <w:color w:val="000000"/>
                <w:sz w:val="18"/>
                <w:szCs w:val="18"/>
                <w:lang w:val="en-US" w:eastAsia="en-US"/>
              </w:rPr>
            </w:pPr>
          </w:p>
        </w:tc>
        <w:tc>
          <w:tcPr>
            <w:tcW w:w="643" w:type="dxa"/>
            <w:tcBorders>
              <w:top w:val="nil"/>
              <w:left w:val="nil"/>
              <w:bottom w:val="single" w:sz="4" w:space="0" w:color="auto"/>
              <w:right w:val="single" w:sz="4" w:space="0" w:color="auto"/>
            </w:tcBorders>
            <w:shd w:val="clear" w:color="auto" w:fill="auto"/>
            <w:noWrap/>
            <w:vAlign w:val="bottom"/>
            <w:hideMark/>
          </w:tcPr>
          <w:p w14:paraId="61A83F8F" w14:textId="77777777" w:rsidR="00C31AC3" w:rsidRPr="00736D6C" w:rsidRDefault="00C31AC3" w:rsidP="00C31AC3">
            <w:pPr>
              <w:overflowPunct/>
              <w:autoSpaceDE/>
              <w:autoSpaceDN/>
              <w:adjustRightInd/>
              <w:spacing w:after="0"/>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Inner</w:t>
            </w:r>
          </w:p>
        </w:tc>
        <w:tc>
          <w:tcPr>
            <w:tcW w:w="559" w:type="dxa"/>
            <w:tcBorders>
              <w:top w:val="nil"/>
              <w:left w:val="nil"/>
              <w:bottom w:val="single" w:sz="4" w:space="0" w:color="auto"/>
              <w:right w:val="single" w:sz="4" w:space="0" w:color="auto"/>
            </w:tcBorders>
            <w:shd w:val="clear" w:color="auto" w:fill="auto"/>
            <w:noWrap/>
            <w:vAlign w:val="bottom"/>
            <w:hideMark/>
          </w:tcPr>
          <w:p w14:paraId="0E9B30C9"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26</w:t>
            </w:r>
          </w:p>
        </w:tc>
        <w:tc>
          <w:tcPr>
            <w:tcW w:w="625" w:type="dxa"/>
            <w:tcBorders>
              <w:top w:val="nil"/>
              <w:left w:val="nil"/>
              <w:bottom w:val="single" w:sz="4" w:space="0" w:color="auto"/>
              <w:right w:val="single" w:sz="4" w:space="0" w:color="auto"/>
            </w:tcBorders>
            <w:shd w:val="clear" w:color="000000" w:fill="92D050"/>
            <w:noWrap/>
            <w:vAlign w:val="bottom"/>
            <w:hideMark/>
          </w:tcPr>
          <w:p w14:paraId="72AB4EB5"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5.7</w:t>
            </w:r>
          </w:p>
        </w:tc>
        <w:tc>
          <w:tcPr>
            <w:tcW w:w="540" w:type="dxa"/>
            <w:tcBorders>
              <w:top w:val="nil"/>
              <w:left w:val="nil"/>
              <w:bottom w:val="single" w:sz="4" w:space="0" w:color="auto"/>
              <w:right w:val="single" w:sz="4" w:space="0" w:color="auto"/>
            </w:tcBorders>
            <w:shd w:val="clear" w:color="000000" w:fill="92D050"/>
            <w:noWrap/>
            <w:vAlign w:val="bottom"/>
            <w:hideMark/>
          </w:tcPr>
          <w:p w14:paraId="30F75EBB"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28.6</w:t>
            </w:r>
          </w:p>
        </w:tc>
        <w:tc>
          <w:tcPr>
            <w:tcW w:w="536" w:type="dxa"/>
            <w:tcBorders>
              <w:top w:val="nil"/>
              <w:left w:val="nil"/>
              <w:bottom w:val="single" w:sz="4" w:space="0" w:color="auto"/>
              <w:right w:val="single" w:sz="4" w:space="0" w:color="auto"/>
            </w:tcBorders>
            <w:shd w:val="clear" w:color="000000" w:fill="00B050"/>
            <w:noWrap/>
            <w:vAlign w:val="bottom"/>
            <w:hideMark/>
          </w:tcPr>
          <w:p w14:paraId="1CF9F1D8"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7.5</w:t>
            </w:r>
          </w:p>
        </w:tc>
        <w:tc>
          <w:tcPr>
            <w:tcW w:w="536" w:type="dxa"/>
            <w:tcBorders>
              <w:top w:val="nil"/>
              <w:left w:val="nil"/>
              <w:bottom w:val="single" w:sz="4" w:space="0" w:color="auto"/>
              <w:right w:val="single" w:sz="4" w:space="0" w:color="auto"/>
            </w:tcBorders>
            <w:shd w:val="clear" w:color="000000" w:fill="00B050"/>
            <w:noWrap/>
            <w:vAlign w:val="bottom"/>
            <w:hideMark/>
          </w:tcPr>
          <w:p w14:paraId="3BBFB101"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31.2</w:t>
            </w:r>
          </w:p>
        </w:tc>
        <w:tc>
          <w:tcPr>
            <w:tcW w:w="625" w:type="dxa"/>
            <w:tcBorders>
              <w:top w:val="nil"/>
              <w:left w:val="nil"/>
              <w:bottom w:val="single" w:sz="4" w:space="0" w:color="auto"/>
              <w:right w:val="single" w:sz="4" w:space="0" w:color="auto"/>
            </w:tcBorders>
            <w:shd w:val="clear" w:color="000000" w:fill="FF0000"/>
            <w:noWrap/>
            <w:vAlign w:val="bottom"/>
            <w:hideMark/>
          </w:tcPr>
          <w:p w14:paraId="43F63C6B" w14:textId="44B5A7DE"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-0.2</w:t>
            </w:r>
          </w:p>
        </w:tc>
        <w:tc>
          <w:tcPr>
            <w:tcW w:w="625" w:type="dxa"/>
            <w:tcBorders>
              <w:top w:val="nil"/>
              <w:left w:val="nil"/>
              <w:bottom w:val="single" w:sz="4" w:space="0" w:color="auto"/>
              <w:right w:val="single" w:sz="4" w:space="0" w:color="auto"/>
            </w:tcBorders>
            <w:shd w:val="clear" w:color="000000" w:fill="92D050"/>
            <w:noWrap/>
            <w:vAlign w:val="bottom"/>
            <w:hideMark/>
          </w:tcPr>
          <w:p w14:paraId="5878B288" w14:textId="7CE8FEF0"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18.8</w:t>
            </w:r>
          </w:p>
        </w:tc>
        <w:tc>
          <w:tcPr>
            <w:tcW w:w="625" w:type="dxa"/>
            <w:tcBorders>
              <w:top w:val="nil"/>
              <w:left w:val="nil"/>
              <w:bottom w:val="single" w:sz="4" w:space="0" w:color="auto"/>
              <w:right w:val="single" w:sz="4" w:space="0" w:color="auto"/>
            </w:tcBorders>
            <w:shd w:val="clear" w:color="000000" w:fill="00B050"/>
            <w:noWrap/>
            <w:vAlign w:val="bottom"/>
            <w:hideMark/>
          </w:tcPr>
          <w:p w14:paraId="2965E732" w14:textId="59893120"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12.9</w:t>
            </w:r>
          </w:p>
        </w:tc>
        <w:tc>
          <w:tcPr>
            <w:tcW w:w="553" w:type="dxa"/>
            <w:tcBorders>
              <w:top w:val="nil"/>
              <w:left w:val="nil"/>
              <w:bottom w:val="single" w:sz="4" w:space="0" w:color="auto"/>
              <w:right w:val="single" w:sz="4" w:space="0" w:color="auto"/>
            </w:tcBorders>
            <w:shd w:val="clear" w:color="000000" w:fill="00B050"/>
            <w:noWrap/>
            <w:vAlign w:val="bottom"/>
            <w:hideMark/>
          </w:tcPr>
          <w:p w14:paraId="45633032" w14:textId="353A61C6"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18.8</w:t>
            </w:r>
          </w:p>
        </w:tc>
      </w:tr>
      <w:tr w:rsidR="00C31AC3" w:rsidRPr="00736D6C" w14:paraId="3055B03C" w14:textId="77777777" w:rsidTr="00C31AC3">
        <w:trPr>
          <w:trHeight w:val="70"/>
          <w:jc w:val="center"/>
        </w:trPr>
        <w:tc>
          <w:tcPr>
            <w:tcW w:w="1620" w:type="dxa"/>
            <w:tcBorders>
              <w:top w:val="nil"/>
              <w:left w:val="single" w:sz="4" w:space="0" w:color="auto"/>
              <w:bottom w:val="single" w:sz="4" w:space="0" w:color="auto"/>
              <w:right w:val="single" w:sz="4" w:space="0" w:color="auto"/>
            </w:tcBorders>
            <w:shd w:val="clear" w:color="000000" w:fill="FFFF00"/>
            <w:noWrap/>
            <w:vAlign w:val="bottom"/>
            <w:hideMark/>
          </w:tcPr>
          <w:p w14:paraId="7CF11319" w14:textId="77777777" w:rsidR="00C31AC3" w:rsidRPr="00736D6C" w:rsidRDefault="00C31AC3" w:rsidP="00C31AC3">
            <w:pPr>
              <w:overflowPunct/>
              <w:autoSpaceDE/>
              <w:autoSpaceDN/>
              <w:adjustRightInd/>
              <w:spacing w:after="0"/>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20M2D036RB000</w:t>
            </w:r>
          </w:p>
        </w:tc>
        <w:tc>
          <w:tcPr>
            <w:tcW w:w="703" w:type="dxa"/>
            <w:vMerge/>
            <w:tcBorders>
              <w:top w:val="nil"/>
              <w:left w:val="single" w:sz="4" w:space="0" w:color="auto"/>
              <w:bottom w:val="single" w:sz="4" w:space="0" w:color="auto"/>
              <w:right w:val="single" w:sz="4" w:space="0" w:color="auto"/>
            </w:tcBorders>
            <w:vAlign w:val="center"/>
            <w:hideMark/>
          </w:tcPr>
          <w:p w14:paraId="4776AFBA" w14:textId="77777777" w:rsidR="00C31AC3" w:rsidRPr="00736D6C" w:rsidRDefault="00C31AC3" w:rsidP="00C31AC3">
            <w:pPr>
              <w:overflowPunct/>
              <w:autoSpaceDE/>
              <w:autoSpaceDN/>
              <w:adjustRightInd/>
              <w:spacing w:after="0"/>
              <w:textAlignment w:val="auto"/>
              <w:rPr>
                <w:rFonts w:ascii="Calibri" w:hAnsi="Calibri" w:cs="Calibri"/>
                <w:color w:val="000000"/>
                <w:sz w:val="18"/>
                <w:szCs w:val="18"/>
                <w:lang w:val="en-US" w:eastAsia="en-US"/>
              </w:rPr>
            </w:pPr>
          </w:p>
        </w:tc>
        <w:tc>
          <w:tcPr>
            <w:tcW w:w="643" w:type="dxa"/>
            <w:tcBorders>
              <w:top w:val="nil"/>
              <w:left w:val="nil"/>
              <w:bottom w:val="single" w:sz="4" w:space="0" w:color="auto"/>
              <w:right w:val="single" w:sz="4" w:space="0" w:color="auto"/>
            </w:tcBorders>
            <w:shd w:val="clear" w:color="auto" w:fill="auto"/>
            <w:noWrap/>
            <w:vAlign w:val="bottom"/>
            <w:hideMark/>
          </w:tcPr>
          <w:p w14:paraId="2F403FF9" w14:textId="77777777" w:rsidR="00C31AC3" w:rsidRPr="00736D6C" w:rsidRDefault="00C31AC3" w:rsidP="00C31AC3">
            <w:pPr>
              <w:overflowPunct/>
              <w:autoSpaceDE/>
              <w:autoSpaceDN/>
              <w:adjustRightInd/>
              <w:spacing w:after="0"/>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Outer</w:t>
            </w:r>
          </w:p>
        </w:tc>
        <w:tc>
          <w:tcPr>
            <w:tcW w:w="559" w:type="dxa"/>
            <w:tcBorders>
              <w:top w:val="nil"/>
              <w:left w:val="nil"/>
              <w:bottom w:val="single" w:sz="4" w:space="0" w:color="auto"/>
              <w:right w:val="single" w:sz="4" w:space="0" w:color="auto"/>
            </w:tcBorders>
            <w:shd w:val="clear" w:color="auto" w:fill="auto"/>
            <w:noWrap/>
            <w:vAlign w:val="bottom"/>
            <w:hideMark/>
          </w:tcPr>
          <w:p w14:paraId="4EE2FF49"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26</w:t>
            </w:r>
          </w:p>
        </w:tc>
        <w:tc>
          <w:tcPr>
            <w:tcW w:w="625" w:type="dxa"/>
            <w:tcBorders>
              <w:top w:val="nil"/>
              <w:left w:val="nil"/>
              <w:bottom w:val="single" w:sz="4" w:space="0" w:color="auto"/>
              <w:right w:val="single" w:sz="4" w:space="0" w:color="auto"/>
            </w:tcBorders>
            <w:shd w:val="clear" w:color="000000" w:fill="FF0000"/>
            <w:noWrap/>
            <w:vAlign w:val="bottom"/>
            <w:hideMark/>
          </w:tcPr>
          <w:p w14:paraId="75686676"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-5.3</w:t>
            </w:r>
          </w:p>
        </w:tc>
        <w:tc>
          <w:tcPr>
            <w:tcW w:w="540" w:type="dxa"/>
            <w:tcBorders>
              <w:top w:val="nil"/>
              <w:left w:val="nil"/>
              <w:bottom w:val="single" w:sz="4" w:space="0" w:color="auto"/>
              <w:right w:val="single" w:sz="4" w:space="0" w:color="auto"/>
            </w:tcBorders>
            <w:shd w:val="clear" w:color="000000" w:fill="92D050"/>
            <w:noWrap/>
            <w:vAlign w:val="bottom"/>
            <w:hideMark/>
          </w:tcPr>
          <w:p w14:paraId="412FBFFE"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16.1</w:t>
            </w:r>
          </w:p>
        </w:tc>
        <w:tc>
          <w:tcPr>
            <w:tcW w:w="536" w:type="dxa"/>
            <w:tcBorders>
              <w:top w:val="nil"/>
              <w:left w:val="nil"/>
              <w:bottom w:val="single" w:sz="4" w:space="0" w:color="auto"/>
              <w:right w:val="single" w:sz="4" w:space="0" w:color="auto"/>
            </w:tcBorders>
            <w:shd w:val="clear" w:color="000000" w:fill="00B050"/>
            <w:noWrap/>
            <w:vAlign w:val="bottom"/>
            <w:hideMark/>
          </w:tcPr>
          <w:p w14:paraId="5FE54851"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12.2</w:t>
            </w:r>
          </w:p>
        </w:tc>
        <w:tc>
          <w:tcPr>
            <w:tcW w:w="536" w:type="dxa"/>
            <w:tcBorders>
              <w:top w:val="nil"/>
              <w:left w:val="nil"/>
              <w:bottom w:val="single" w:sz="4" w:space="0" w:color="auto"/>
              <w:right w:val="single" w:sz="4" w:space="0" w:color="auto"/>
            </w:tcBorders>
            <w:shd w:val="clear" w:color="000000" w:fill="00B050"/>
            <w:noWrap/>
            <w:vAlign w:val="bottom"/>
            <w:hideMark/>
          </w:tcPr>
          <w:p w14:paraId="7A142B7B"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27.2</w:t>
            </w:r>
          </w:p>
        </w:tc>
        <w:tc>
          <w:tcPr>
            <w:tcW w:w="625" w:type="dxa"/>
            <w:tcBorders>
              <w:top w:val="nil"/>
              <w:left w:val="nil"/>
              <w:bottom w:val="single" w:sz="4" w:space="0" w:color="auto"/>
              <w:right w:val="single" w:sz="4" w:space="0" w:color="auto"/>
            </w:tcBorders>
            <w:shd w:val="clear" w:color="000000" w:fill="FF0000"/>
            <w:noWrap/>
            <w:vAlign w:val="bottom"/>
            <w:hideMark/>
          </w:tcPr>
          <w:p w14:paraId="72D508A3" w14:textId="097AF786"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-4.2</w:t>
            </w:r>
          </w:p>
        </w:tc>
        <w:tc>
          <w:tcPr>
            <w:tcW w:w="625" w:type="dxa"/>
            <w:tcBorders>
              <w:top w:val="nil"/>
              <w:left w:val="nil"/>
              <w:bottom w:val="single" w:sz="4" w:space="0" w:color="auto"/>
              <w:right w:val="single" w:sz="4" w:space="0" w:color="auto"/>
            </w:tcBorders>
            <w:shd w:val="clear" w:color="000000" w:fill="92D050"/>
            <w:noWrap/>
            <w:vAlign w:val="bottom"/>
            <w:hideMark/>
          </w:tcPr>
          <w:p w14:paraId="71B95843" w14:textId="5556356E"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17.1</w:t>
            </w:r>
          </w:p>
        </w:tc>
        <w:tc>
          <w:tcPr>
            <w:tcW w:w="625" w:type="dxa"/>
            <w:tcBorders>
              <w:top w:val="nil"/>
              <w:left w:val="nil"/>
              <w:bottom w:val="single" w:sz="4" w:space="0" w:color="auto"/>
              <w:right w:val="single" w:sz="4" w:space="0" w:color="auto"/>
            </w:tcBorders>
            <w:shd w:val="clear" w:color="000000" w:fill="00B050"/>
            <w:noWrap/>
            <w:vAlign w:val="bottom"/>
            <w:hideMark/>
          </w:tcPr>
          <w:p w14:paraId="6E7BF6B3" w14:textId="7F229513"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14.7</w:t>
            </w:r>
          </w:p>
        </w:tc>
        <w:tc>
          <w:tcPr>
            <w:tcW w:w="553" w:type="dxa"/>
            <w:tcBorders>
              <w:top w:val="nil"/>
              <w:left w:val="nil"/>
              <w:bottom w:val="single" w:sz="4" w:space="0" w:color="auto"/>
              <w:right w:val="single" w:sz="4" w:space="0" w:color="auto"/>
            </w:tcBorders>
            <w:shd w:val="clear" w:color="000000" w:fill="00B050"/>
            <w:noWrap/>
            <w:vAlign w:val="bottom"/>
            <w:hideMark/>
          </w:tcPr>
          <w:p w14:paraId="24B434AE" w14:textId="4DA4016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18.7</w:t>
            </w:r>
          </w:p>
        </w:tc>
      </w:tr>
      <w:tr w:rsidR="00C31AC3" w:rsidRPr="00736D6C" w14:paraId="1422FDCA" w14:textId="77777777" w:rsidTr="00C31AC3">
        <w:trPr>
          <w:trHeight w:val="70"/>
          <w:jc w:val="center"/>
        </w:trPr>
        <w:tc>
          <w:tcPr>
            <w:tcW w:w="1620" w:type="dxa"/>
            <w:tcBorders>
              <w:top w:val="nil"/>
              <w:left w:val="single" w:sz="4" w:space="0" w:color="auto"/>
              <w:bottom w:val="single" w:sz="4" w:space="0" w:color="auto"/>
              <w:right w:val="single" w:sz="4" w:space="0" w:color="auto"/>
            </w:tcBorders>
            <w:shd w:val="clear" w:color="000000" w:fill="92D050"/>
            <w:noWrap/>
            <w:vAlign w:val="bottom"/>
            <w:hideMark/>
          </w:tcPr>
          <w:p w14:paraId="6256AA0A" w14:textId="77777777" w:rsidR="00C31AC3" w:rsidRPr="00736D6C" w:rsidRDefault="00C31AC3" w:rsidP="00C31AC3">
            <w:pPr>
              <w:overflowPunct/>
              <w:autoSpaceDE/>
              <w:autoSpaceDN/>
              <w:adjustRightInd/>
              <w:spacing w:after="0"/>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20M2D036RB036</w:t>
            </w:r>
          </w:p>
        </w:tc>
        <w:tc>
          <w:tcPr>
            <w:tcW w:w="703" w:type="dxa"/>
            <w:vMerge/>
            <w:tcBorders>
              <w:top w:val="nil"/>
              <w:left w:val="single" w:sz="4" w:space="0" w:color="auto"/>
              <w:bottom w:val="single" w:sz="4" w:space="0" w:color="auto"/>
              <w:right w:val="single" w:sz="4" w:space="0" w:color="auto"/>
            </w:tcBorders>
            <w:vAlign w:val="center"/>
            <w:hideMark/>
          </w:tcPr>
          <w:p w14:paraId="31C61CF9" w14:textId="77777777" w:rsidR="00C31AC3" w:rsidRPr="00736D6C" w:rsidRDefault="00C31AC3" w:rsidP="00C31AC3">
            <w:pPr>
              <w:overflowPunct/>
              <w:autoSpaceDE/>
              <w:autoSpaceDN/>
              <w:adjustRightInd/>
              <w:spacing w:after="0"/>
              <w:textAlignment w:val="auto"/>
              <w:rPr>
                <w:rFonts w:ascii="Calibri" w:hAnsi="Calibri" w:cs="Calibri"/>
                <w:color w:val="000000"/>
                <w:sz w:val="18"/>
                <w:szCs w:val="18"/>
                <w:lang w:val="en-US" w:eastAsia="en-US"/>
              </w:rPr>
            </w:pPr>
          </w:p>
        </w:tc>
        <w:tc>
          <w:tcPr>
            <w:tcW w:w="643" w:type="dxa"/>
            <w:tcBorders>
              <w:top w:val="nil"/>
              <w:left w:val="nil"/>
              <w:bottom w:val="single" w:sz="4" w:space="0" w:color="auto"/>
              <w:right w:val="single" w:sz="4" w:space="0" w:color="auto"/>
            </w:tcBorders>
            <w:shd w:val="clear" w:color="auto" w:fill="auto"/>
            <w:noWrap/>
            <w:vAlign w:val="bottom"/>
            <w:hideMark/>
          </w:tcPr>
          <w:p w14:paraId="1852400C" w14:textId="77777777" w:rsidR="00C31AC3" w:rsidRPr="00736D6C" w:rsidRDefault="00C31AC3" w:rsidP="00C31AC3">
            <w:pPr>
              <w:overflowPunct/>
              <w:autoSpaceDE/>
              <w:autoSpaceDN/>
              <w:adjustRightInd/>
              <w:spacing w:after="0"/>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Inner</w:t>
            </w:r>
          </w:p>
        </w:tc>
        <w:tc>
          <w:tcPr>
            <w:tcW w:w="559" w:type="dxa"/>
            <w:tcBorders>
              <w:top w:val="nil"/>
              <w:left w:val="nil"/>
              <w:bottom w:val="single" w:sz="4" w:space="0" w:color="auto"/>
              <w:right w:val="single" w:sz="4" w:space="0" w:color="auto"/>
            </w:tcBorders>
            <w:shd w:val="clear" w:color="auto" w:fill="auto"/>
            <w:noWrap/>
            <w:vAlign w:val="bottom"/>
            <w:hideMark/>
          </w:tcPr>
          <w:p w14:paraId="266FB9B1"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26</w:t>
            </w:r>
          </w:p>
        </w:tc>
        <w:tc>
          <w:tcPr>
            <w:tcW w:w="625" w:type="dxa"/>
            <w:tcBorders>
              <w:top w:val="nil"/>
              <w:left w:val="nil"/>
              <w:bottom w:val="single" w:sz="4" w:space="0" w:color="auto"/>
              <w:right w:val="single" w:sz="4" w:space="0" w:color="auto"/>
            </w:tcBorders>
            <w:shd w:val="clear" w:color="000000" w:fill="92D050"/>
            <w:noWrap/>
            <w:vAlign w:val="bottom"/>
            <w:hideMark/>
          </w:tcPr>
          <w:p w14:paraId="27339105"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12.9</w:t>
            </w:r>
          </w:p>
        </w:tc>
        <w:tc>
          <w:tcPr>
            <w:tcW w:w="540" w:type="dxa"/>
            <w:tcBorders>
              <w:top w:val="nil"/>
              <w:left w:val="nil"/>
              <w:bottom w:val="single" w:sz="4" w:space="0" w:color="auto"/>
              <w:right w:val="single" w:sz="4" w:space="0" w:color="auto"/>
            </w:tcBorders>
            <w:shd w:val="clear" w:color="000000" w:fill="92D050"/>
            <w:noWrap/>
            <w:vAlign w:val="bottom"/>
            <w:hideMark/>
          </w:tcPr>
          <w:p w14:paraId="004F3EDE"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12.0</w:t>
            </w:r>
          </w:p>
        </w:tc>
        <w:tc>
          <w:tcPr>
            <w:tcW w:w="536" w:type="dxa"/>
            <w:tcBorders>
              <w:top w:val="nil"/>
              <w:left w:val="nil"/>
              <w:bottom w:val="single" w:sz="4" w:space="0" w:color="auto"/>
              <w:right w:val="single" w:sz="4" w:space="0" w:color="auto"/>
            </w:tcBorders>
            <w:shd w:val="clear" w:color="000000" w:fill="00B050"/>
            <w:noWrap/>
            <w:vAlign w:val="bottom"/>
            <w:hideMark/>
          </w:tcPr>
          <w:p w14:paraId="7B2B7A26"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22.2</w:t>
            </w:r>
          </w:p>
        </w:tc>
        <w:tc>
          <w:tcPr>
            <w:tcW w:w="536" w:type="dxa"/>
            <w:tcBorders>
              <w:top w:val="nil"/>
              <w:left w:val="nil"/>
              <w:bottom w:val="single" w:sz="4" w:space="0" w:color="auto"/>
              <w:right w:val="single" w:sz="4" w:space="0" w:color="auto"/>
            </w:tcBorders>
            <w:shd w:val="clear" w:color="000000" w:fill="00B050"/>
            <w:noWrap/>
            <w:vAlign w:val="bottom"/>
            <w:hideMark/>
          </w:tcPr>
          <w:p w14:paraId="4DFA0A27"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22.7</w:t>
            </w:r>
          </w:p>
        </w:tc>
        <w:tc>
          <w:tcPr>
            <w:tcW w:w="625" w:type="dxa"/>
            <w:tcBorders>
              <w:top w:val="nil"/>
              <w:left w:val="nil"/>
              <w:bottom w:val="single" w:sz="4" w:space="0" w:color="auto"/>
              <w:right w:val="single" w:sz="4" w:space="0" w:color="auto"/>
            </w:tcBorders>
            <w:shd w:val="clear" w:color="000000" w:fill="92D050"/>
            <w:noWrap/>
            <w:vAlign w:val="bottom"/>
            <w:hideMark/>
          </w:tcPr>
          <w:p w14:paraId="0C645642" w14:textId="70AF43E8"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14.0</w:t>
            </w:r>
          </w:p>
        </w:tc>
        <w:tc>
          <w:tcPr>
            <w:tcW w:w="625" w:type="dxa"/>
            <w:tcBorders>
              <w:top w:val="nil"/>
              <w:left w:val="nil"/>
              <w:bottom w:val="single" w:sz="4" w:space="0" w:color="auto"/>
              <w:right w:val="single" w:sz="4" w:space="0" w:color="auto"/>
            </w:tcBorders>
            <w:shd w:val="clear" w:color="000000" w:fill="92D050"/>
            <w:noWrap/>
            <w:vAlign w:val="bottom"/>
            <w:hideMark/>
          </w:tcPr>
          <w:p w14:paraId="004DDE86" w14:textId="690F6A8E"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11.3</w:t>
            </w:r>
          </w:p>
        </w:tc>
        <w:tc>
          <w:tcPr>
            <w:tcW w:w="625" w:type="dxa"/>
            <w:tcBorders>
              <w:top w:val="nil"/>
              <w:left w:val="nil"/>
              <w:bottom w:val="single" w:sz="4" w:space="0" w:color="auto"/>
              <w:right w:val="single" w:sz="4" w:space="0" w:color="auto"/>
            </w:tcBorders>
            <w:shd w:val="clear" w:color="000000" w:fill="00B050"/>
            <w:noWrap/>
            <w:vAlign w:val="bottom"/>
            <w:hideMark/>
          </w:tcPr>
          <w:p w14:paraId="465E652A" w14:textId="01823C30"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18.9</w:t>
            </w:r>
          </w:p>
        </w:tc>
        <w:tc>
          <w:tcPr>
            <w:tcW w:w="553" w:type="dxa"/>
            <w:tcBorders>
              <w:top w:val="nil"/>
              <w:left w:val="nil"/>
              <w:bottom w:val="single" w:sz="4" w:space="0" w:color="auto"/>
              <w:right w:val="single" w:sz="4" w:space="0" w:color="auto"/>
            </w:tcBorders>
            <w:shd w:val="clear" w:color="000000" w:fill="00B050"/>
            <w:noWrap/>
            <w:vAlign w:val="bottom"/>
            <w:hideMark/>
          </w:tcPr>
          <w:p w14:paraId="2E5BD5BA" w14:textId="7F5BAC5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17.9</w:t>
            </w:r>
          </w:p>
        </w:tc>
      </w:tr>
      <w:tr w:rsidR="00C31AC3" w:rsidRPr="00736D6C" w14:paraId="473253B2" w14:textId="77777777" w:rsidTr="00C31AC3">
        <w:trPr>
          <w:trHeight w:val="70"/>
          <w:jc w:val="center"/>
        </w:trPr>
        <w:tc>
          <w:tcPr>
            <w:tcW w:w="1620" w:type="dxa"/>
            <w:tcBorders>
              <w:top w:val="nil"/>
              <w:left w:val="single" w:sz="4" w:space="0" w:color="auto"/>
              <w:bottom w:val="single" w:sz="4" w:space="0" w:color="auto"/>
              <w:right w:val="single" w:sz="4" w:space="0" w:color="auto"/>
            </w:tcBorders>
            <w:shd w:val="clear" w:color="000000" w:fill="FFFF00"/>
            <w:noWrap/>
            <w:vAlign w:val="bottom"/>
            <w:hideMark/>
          </w:tcPr>
          <w:p w14:paraId="1D6EF139" w14:textId="77777777" w:rsidR="00C31AC3" w:rsidRPr="00736D6C" w:rsidRDefault="00C31AC3" w:rsidP="00C31AC3">
            <w:pPr>
              <w:overflowPunct/>
              <w:autoSpaceDE/>
              <w:autoSpaceDN/>
              <w:adjustRightInd/>
              <w:spacing w:after="0"/>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20M2D050RB000</w:t>
            </w:r>
          </w:p>
        </w:tc>
        <w:tc>
          <w:tcPr>
            <w:tcW w:w="703" w:type="dxa"/>
            <w:vMerge/>
            <w:tcBorders>
              <w:top w:val="nil"/>
              <w:left w:val="single" w:sz="4" w:space="0" w:color="auto"/>
              <w:bottom w:val="single" w:sz="4" w:space="0" w:color="auto"/>
              <w:right w:val="single" w:sz="4" w:space="0" w:color="auto"/>
            </w:tcBorders>
            <w:vAlign w:val="center"/>
            <w:hideMark/>
          </w:tcPr>
          <w:p w14:paraId="4428CC15" w14:textId="77777777" w:rsidR="00C31AC3" w:rsidRPr="00736D6C" w:rsidRDefault="00C31AC3" w:rsidP="00C31AC3">
            <w:pPr>
              <w:overflowPunct/>
              <w:autoSpaceDE/>
              <w:autoSpaceDN/>
              <w:adjustRightInd/>
              <w:spacing w:after="0"/>
              <w:textAlignment w:val="auto"/>
              <w:rPr>
                <w:rFonts w:ascii="Calibri" w:hAnsi="Calibri" w:cs="Calibri"/>
                <w:color w:val="000000"/>
                <w:sz w:val="18"/>
                <w:szCs w:val="18"/>
                <w:lang w:val="en-US" w:eastAsia="en-US"/>
              </w:rPr>
            </w:pPr>
          </w:p>
        </w:tc>
        <w:tc>
          <w:tcPr>
            <w:tcW w:w="643" w:type="dxa"/>
            <w:tcBorders>
              <w:top w:val="nil"/>
              <w:left w:val="nil"/>
              <w:bottom w:val="single" w:sz="4" w:space="0" w:color="auto"/>
              <w:right w:val="single" w:sz="4" w:space="0" w:color="auto"/>
            </w:tcBorders>
            <w:shd w:val="clear" w:color="auto" w:fill="auto"/>
            <w:noWrap/>
            <w:vAlign w:val="bottom"/>
            <w:hideMark/>
          </w:tcPr>
          <w:p w14:paraId="6C2A1A31" w14:textId="77777777" w:rsidR="00C31AC3" w:rsidRPr="00736D6C" w:rsidRDefault="00C31AC3" w:rsidP="00C31AC3">
            <w:pPr>
              <w:overflowPunct/>
              <w:autoSpaceDE/>
              <w:autoSpaceDN/>
              <w:adjustRightInd/>
              <w:spacing w:after="0"/>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Outer</w:t>
            </w:r>
          </w:p>
        </w:tc>
        <w:tc>
          <w:tcPr>
            <w:tcW w:w="559" w:type="dxa"/>
            <w:tcBorders>
              <w:top w:val="nil"/>
              <w:left w:val="nil"/>
              <w:bottom w:val="single" w:sz="4" w:space="0" w:color="auto"/>
              <w:right w:val="single" w:sz="4" w:space="0" w:color="auto"/>
            </w:tcBorders>
            <w:shd w:val="clear" w:color="auto" w:fill="auto"/>
            <w:noWrap/>
            <w:vAlign w:val="bottom"/>
            <w:hideMark/>
          </w:tcPr>
          <w:p w14:paraId="263BBE77"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26</w:t>
            </w:r>
          </w:p>
        </w:tc>
        <w:tc>
          <w:tcPr>
            <w:tcW w:w="625" w:type="dxa"/>
            <w:tcBorders>
              <w:top w:val="nil"/>
              <w:left w:val="nil"/>
              <w:bottom w:val="single" w:sz="4" w:space="0" w:color="auto"/>
              <w:right w:val="single" w:sz="4" w:space="0" w:color="auto"/>
            </w:tcBorders>
            <w:shd w:val="clear" w:color="000000" w:fill="FF0000"/>
            <w:noWrap/>
            <w:vAlign w:val="bottom"/>
            <w:hideMark/>
          </w:tcPr>
          <w:p w14:paraId="5D06AE06"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-7.6</w:t>
            </w:r>
          </w:p>
        </w:tc>
        <w:tc>
          <w:tcPr>
            <w:tcW w:w="540" w:type="dxa"/>
            <w:tcBorders>
              <w:top w:val="nil"/>
              <w:left w:val="nil"/>
              <w:bottom w:val="single" w:sz="4" w:space="0" w:color="auto"/>
              <w:right w:val="single" w:sz="4" w:space="0" w:color="auto"/>
            </w:tcBorders>
            <w:shd w:val="clear" w:color="000000" w:fill="92D050"/>
            <w:noWrap/>
            <w:vAlign w:val="bottom"/>
            <w:hideMark/>
          </w:tcPr>
          <w:p w14:paraId="644F115E"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11.7</w:t>
            </w:r>
          </w:p>
        </w:tc>
        <w:tc>
          <w:tcPr>
            <w:tcW w:w="536" w:type="dxa"/>
            <w:tcBorders>
              <w:top w:val="nil"/>
              <w:left w:val="nil"/>
              <w:bottom w:val="single" w:sz="4" w:space="0" w:color="auto"/>
              <w:right w:val="single" w:sz="4" w:space="0" w:color="auto"/>
            </w:tcBorders>
            <w:shd w:val="clear" w:color="000000" w:fill="00B050"/>
            <w:noWrap/>
            <w:vAlign w:val="bottom"/>
            <w:hideMark/>
          </w:tcPr>
          <w:p w14:paraId="485A2049"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10.8</w:t>
            </w:r>
          </w:p>
        </w:tc>
        <w:tc>
          <w:tcPr>
            <w:tcW w:w="536" w:type="dxa"/>
            <w:tcBorders>
              <w:top w:val="nil"/>
              <w:left w:val="nil"/>
              <w:bottom w:val="single" w:sz="4" w:space="0" w:color="auto"/>
              <w:right w:val="single" w:sz="4" w:space="0" w:color="auto"/>
            </w:tcBorders>
            <w:shd w:val="clear" w:color="000000" w:fill="00B050"/>
            <w:noWrap/>
            <w:vAlign w:val="bottom"/>
            <w:hideMark/>
          </w:tcPr>
          <w:p w14:paraId="449561E4"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20.7</w:t>
            </w:r>
          </w:p>
        </w:tc>
        <w:tc>
          <w:tcPr>
            <w:tcW w:w="625" w:type="dxa"/>
            <w:tcBorders>
              <w:top w:val="nil"/>
              <w:left w:val="nil"/>
              <w:bottom w:val="single" w:sz="4" w:space="0" w:color="auto"/>
              <w:right w:val="single" w:sz="4" w:space="0" w:color="auto"/>
            </w:tcBorders>
            <w:shd w:val="clear" w:color="000000" w:fill="FF0000"/>
            <w:noWrap/>
            <w:vAlign w:val="bottom"/>
            <w:hideMark/>
          </w:tcPr>
          <w:p w14:paraId="31D94BB5" w14:textId="52156622"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-5.8</w:t>
            </w:r>
          </w:p>
        </w:tc>
        <w:tc>
          <w:tcPr>
            <w:tcW w:w="625" w:type="dxa"/>
            <w:tcBorders>
              <w:top w:val="nil"/>
              <w:left w:val="nil"/>
              <w:bottom w:val="single" w:sz="4" w:space="0" w:color="auto"/>
              <w:right w:val="single" w:sz="4" w:space="0" w:color="auto"/>
            </w:tcBorders>
            <w:shd w:val="clear" w:color="000000" w:fill="92D050"/>
            <w:noWrap/>
            <w:vAlign w:val="bottom"/>
            <w:hideMark/>
          </w:tcPr>
          <w:p w14:paraId="783A3D76" w14:textId="77773D3D"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11.8</w:t>
            </w:r>
          </w:p>
        </w:tc>
        <w:tc>
          <w:tcPr>
            <w:tcW w:w="625" w:type="dxa"/>
            <w:tcBorders>
              <w:top w:val="nil"/>
              <w:left w:val="nil"/>
              <w:bottom w:val="single" w:sz="4" w:space="0" w:color="auto"/>
              <w:right w:val="single" w:sz="4" w:space="0" w:color="auto"/>
            </w:tcBorders>
            <w:shd w:val="clear" w:color="000000" w:fill="00B050"/>
            <w:noWrap/>
            <w:vAlign w:val="bottom"/>
            <w:hideMark/>
          </w:tcPr>
          <w:p w14:paraId="6D54C87B" w14:textId="1495A9FB"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11.3</w:t>
            </w:r>
          </w:p>
        </w:tc>
        <w:tc>
          <w:tcPr>
            <w:tcW w:w="553" w:type="dxa"/>
            <w:tcBorders>
              <w:top w:val="nil"/>
              <w:left w:val="nil"/>
              <w:bottom w:val="single" w:sz="4" w:space="0" w:color="auto"/>
              <w:right w:val="single" w:sz="4" w:space="0" w:color="auto"/>
            </w:tcBorders>
            <w:shd w:val="clear" w:color="000000" w:fill="00B050"/>
            <w:noWrap/>
            <w:vAlign w:val="bottom"/>
            <w:hideMark/>
          </w:tcPr>
          <w:p w14:paraId="689C172F" w14:textId="34FDEA43"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16.4</w:t>
            </w:r>
          </w:p>
        </w:tc>
      </w:tr>
      <w:tr w:rsidR="00C31AC3" w:rsidRPr="00736D6C" w14:paraId="406DD710" w14:textId="77777777" w:rsidTr="00C31AC3">
        <w:trPr>
          <w:trHeight w:val="70"/>
          <w:jc w:val="center"/>
        </w:trPr>
        <w:tc>
          <w:tcPr>
            <w:tcW w:w="1620" w:type="dxa"/>
            <w:tcBorders>
              <w:top w:val="nil"/>
              <w:left w:val="single" w:sz="4" w:space="0" w:color="auto"/>
              <w:bottom w:val="single" w:sz="4" w:space="0" w:color="auto"/>
              <w:right w:val="single" w:sz="4" w:space="0" w:color="auto"/>
            </w:tcBorders>
            <w:shd w:val="clear" w:color="000000" w:fill="92D050"/>
            <w:noWrap/>
            <w:vAlign w:val="bottom"/>
            <w:hideMark/>
          </w:tcPr>
          <w:p w14:paraId="70C1A389" w14:textId="77777777" w:rsidR="00C31AC3" w:rsidRPr="00736D6C" w:rsidRDefault="00C31AC3" w:rsidP="00C31AC3">
            <w:pPr>
              <w:overflowPunct/>
              <w:autoSpaceDE/>
              <w:autoSpaceDN/>
              <w:adjustRightInd/>
              <w:spacing w:after="0"/>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20M2D050RB025</w:t>
            </w:r>
          </w:p>
        </w:tc>
        <w:tc>
          <w:tcPr>
            <w:tcW w:w="703" w:type="dxa"/>
            <w:vMerge/>
            <w:tcBorders>
              <w:top w:val="nil"/>
              <w:left w:val="single" w:sz="4" w:space="0" w:color="auto"/>
              <w:bottom w:val="single" w:sz="4" w:space="0" w:color="auto"/>
              <w:right w:val="single" w:sz="4" w:space="0" w:color="auto"/>
            </w:tcBorders>
            <w:vAlign w:val="center"/>
            <w:hideMark/>
          </w:tcPr>
          <w:p w14:paraId="4FABB0BC" w14:textId="77777777" w:rsidR="00C31AC3" w:rsidRPr="00736D6C" w:rsidRDefault="00C31AC3" w:rsidP="00C31AC3">
            <w:pPr>
              <w:overflowPunct/>
              <w:autoSpaceDE/>
              <w:autoSpaceDN/>
              <w:adjustRightInd/>
              <w:spacing w:after="0"/>
              <w:textAlignment w:val="auto"/>
              <w:rPr>
                <w:rFonts w:ascii="Calibri" w:hAnsi="Calibri" w:cs="Calibri"/>
                <w:color w:val="000000"/>
                <w:sz w:val="18"/>
                <w:szCs w:val="18"/>
                <w:lang w:val="en-US" w:eastAsia="en-US"/>
              </w:rPr>
            </w:pPr>
          </w:p>
        </w:tc>
        <w:tc>
          <w:tcPr>
            <w:tcW w:w="643" w:type="dxa"/>
            <w:tcBorders>
              <w:top w:val="nil"/>
              <w:left w:val="nil"/>
              <w:bottom w:val="single" w:sz="4" w:space="0" w:color="auto"/>
              <w:right w:val="single" w:sz="4" w:space="0" w:color="auto"/>
            </w:tcBorders>
            <w:shd w:val="clear" w:color="auto" w:fill="auto"/>
            <w:noWrap/>
            <w:vAlign w:val="bottom"/>
            <w:hideMark/>
          </w:tcPr>
          <w:p w14:paraId="08A800C8" w14:textId="77777777" w:rsidR="00C31AC3" w:rsidRPr="00736D6C" w:rsidRDefault="00C31AC3" w:rsidP="00C31AC3">
            <w:pPr>
              <w:overflowPunct/>
              <w:autoSpaceDE/>
              <w:autoSpaceDN/>
              <w:adjustRightInd/>
              <w:spacing w:after="0"/>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Inner</w:t>
            </w:r>
          </w:p>
        </w:tc>
        <w:tc>
          <w:tcPr>
            <w:tcW w:w="559" w:type="dxa"/>
            <w:tcBorders>
              <w:top w:val="nil"/>
              <w:left w:val="nil"/>
              <w:bottom w:val="single" w:sz="4" w:space="0" w:color="auto"/>
              <w:right w:val="single" w:sz="4" w:space="0" w:color="auto"/>
            </w:tcBorders>
            <w:shd w:val="clear" w:color="auto" w:fill="auto"/>
            <w:noWrap/>
            <w:vAlign w:val="bottom"/>
            <w:hideMark/>
          </w:tcPr>
          <w:p w14:paraId="30329C06"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26</w:t>
            </w:r>
          </w:p>
        </w:tc>
        <w:tc>
          <w:tcPr>
            <w:tcW w:w="625" w:type="dxa"/>
            <w:tcBorders>
              <w:top w:val="nil"/>
              <w:left w:val="nil"/>
              <w:bottom w:val="single" w:sz="4" w:space="0" w:color="auto"/>
              <w:right w:val="single" w:sz="4" w:space="0" w:color="auto"/>
            </w:tcBorders>
            <w:shd w:val="clear" w:color="000000" w:fill="FFFF00"/>
            <w:noWrap/>
            <w:vAlign w:val="bottom"/>
            <w:hideMark/>
          </w:tcPr>
          <w:p w14:paraId="209861D5"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1.1</w:t>
            </w:r>
          </w:p>
        </w:tc>
        <w:tc>
          <w:tcPr>
            <w:tcW w:w="540" w:type="dxa"/>
            <w:tcBorders>
              <w:top w:val="nil"/>
              <w:left w:val="nil"/>
              <w:bottom w:val="single" w:sz="4" w:space="0" w:color="auto"/>
              <w:right w:val="single" w:sz="4" w:space="0" w:color="auto"/>
            </w:tcBorders>
            <w:shd w:val="clear" w:color="000000" w:fill="FFFF00"/>
            <w:noWrap/>
            <w:vAlign w:val="bottom"/>
            <w:hideMark/>
          </w:tcPr>
          <w:p w14:paraId="10EDDF14"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1.8</w:t>
            </w:r>
          </w:p>
        </w:tc>
        <w:tc>
          <w:tcPr>
            <w:tcW w:w="536" w:type="dxa"/>
            <w:tcBorders>
              <w:top w:val="nil"/>
              <w:left w:val="nil"/>
              <w:bottom w:val="single" w:sz="4" w:space="0" w:color="auto"/>
              <w:right w:val="single" w:sz="4" w:space="0" w:color="auto"/>
            </w:tcBorders>
            <w:shd w:val="clear" w:color="000000" w:fill="00B050"/>
            <w:noWrap/>
            <w:vAlign w:val="bottom"/>
            <w:hideMark/>
          </w:tcPr>
          <w:p w14:paraId="1093CCAC"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18.5</w:t>
            </w:r>
          </w:p>
        </w:tc>
        <w:tc>
          <w:tcPr>
            <w:tcW w:w="536" w:type="dxa"/>
            <w:tcBorders>
              <w:top w:val="nil"/>
              <w:left w:val="nil"/>
              <w:bottom w:val="single" w:sz="4" w:space="0" w:color="auto"/>
              <w:right w:val="single" w:sz="4" w:space="0" w:color="auto"/>
            </w:tcBorders>
            <w:shd w:val="clear" w:color="000000" w:fill="00B050"/>
            <w:noWrap/>
            <w:vAlign w:val="bottom"/>
            <w:hideMark/>
          </w:tcPr>
          <w:p w14:paraId="111FA420"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18.9</w:t>
            </w:r>
          </w:p>
        </w:tc>
        <w:tc>
          <w:tcPr>
            <w:tcW w:w="625" w:type="dxa"/>
            <w:tcBorders>
              <w:top w:val="nil"/>
              <w:left w:val="nil"/>
              <w:bottom w:val="single" w:sz="4" w:space="0" w:color="auto"/>
              <w:right w:val="single" w:sz="4" w:space="0" w:color="auto"/>
            </w:tcBorders>
            <w:shd w:val="clear" w:color="000000" w:fill="FF0000"/>
            <w:noWrap/>
            <w:vAlign w:val="bottom"/>
            <w:hideMark/>
          </w:tcPr>
          <w:p w14:paraId="05E8179A" w14:textId="7EBD2B7E"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-3.5</w:t>
            </w:r>
          </w:p>
        </w:tc>
        <w:tc>
          <w:tcPr>
            <w:tcW w:w="625" w:type="dxa"/>
            <w:tcBorders>
              <w:top w:val="nil"/>
              <w:left w:val="nil"/>
              <w:bottom w:val="single" w:sz="4" w:space="0" w:color="auto"/>
              <w:right w:val="single" w:sz="4" w:space="0" w:color="auto"/>
            </w:tcBorders>
            <w:shd w:val="clear" w:color="000000" w:fill="FF0000"/>
            <w:noWrap/>
            <w:vAlign w:val="bottom"/>
            <w:hideMark/>
          </w:tcPr>
          <w:p w14:paraId="33DE165C" w14:textId="70DA6F7E"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-1.4</w:t>
            </w:r>
          </w:p>
        </w:tc>
        <w:tc>
          <w:tcPr>
            <w:tcW w:w="625" w:type="dxa"/>
            <w:tcBorders>
              <w:top w:val="nil"/>
              <w:left w:val="nil"/>
              <w:bottom w:val="single" w:sz="4" w:space="0" w:color="auto"/>
              <w:right w:val="single" w:sz="4" w:space="0" w:color="auto"/>
            </w:tcBorders>
            <w:shd w:val="clear" w:color="000000" w:fill="00B050"/>
            <w:noWrap/>
            <w:vAlign w:val="bottom"/>
            <w:hideMark/>
          </w:tcPr>
          <w:p w14:paraId="6A0C8FBA" w14:textId="61E349AA"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13.0</w:t>
            </w:r>
          </w:p>
        </w:tc>
        <w:tc>
          <w:tcPr>
            <w:tcW w:w="553" w:type="dxa"/>
            <w:tcBorders>
              <w:top w:val="nil"/>
              <w:left w:val="nil"/>
              <w:bottom w:val="single" w:sz="4" w:space="0" w:color="auto"/>
              <w:right w:val="single" w:sz="4" w:space="0" w:color="auto"/>
            </w:tcBorders>
            <w:shd w:val="clear" w:color="000000" w:fill="00B050"/>
            <w:noWrap/>
            <w:vAlign w:val="bottom"/>
            <w:hideMark/>
          </w:tcPr>
          <w:p w14:paraId="7EF2B745" w14:textId="4CCB9CED"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14.3</w:t>
            </w:r>
          </w:p>
        </w:tc>
      </w:tr>
      <w:tr w:rsidR="00C31AC3" w:rsidRPr="00736D6C" w14:paraId="493B4DE9" w14:textId="77777777" w:rsidTr="00C31AC3">
        <w:trPr>
          <w:trHeight w:val="70"/>
          <w:jc w:val="center"/>
        </w:trPr>
        <w:tc>
          <w:tcPr>
            <w:tcW w:w="1620" w:type="dxa"/>
            <w:tcBorders>
              <w:top w:val="nil"/>
              <w:left w:val="single" w:sz="4" w:space="0" w:color="auto"/>
              <w:bottom w:val="single" w:sz="4" w:space="0" w:color="auto"/>
              <w:right w:val="single" w:sz="4" w:space="0" w:color="auto"/>
            </w:tcBorders>
            <w:shd w:val="clear" w:color="000000" w:fill="FFC000"/>
            <w:noWrap/>
            <w:vAlign w:val="bottom"/>
            <w:hideMark/>
          </w:tcPr>
          <w:p w14:paraId="50E06A89" w14:textId="77777777" w:rsidR="00C31AC3" w:rsidRPr="00736D6C" w:rsidRDefault="00C31AC3" w:rsidP="00C31AC3">
            <w:pPr>
              <w:overflowPunct/>
              <w:autoSpaceDE/>
              <w:autoSpaceDN/>
              <w:adjustRightInd/>
              <w:spacing w:after="0"/>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20M2D075RB000</w:t>
            </w:r>
          </w:p>
        </w:tc>
        <w:tc>
          <w:tcPr>
            <w:tcW w:w="703" w:type="dxa"/>
            <w:vMerge/>
            <w:tcBorders>
              <w:top w:val="nil"/>
              <w:left w:val="single" w:sz="4" w:space="0" w:color="auto"/>
              <w:bottom w:val="single" w:sz="4" w:space="0" w:color="auto"/>
              <w:right w:val="single" w:sz="4" w:space="0" w:color="auto"/>
            </w:tcBorders>
            <w:vAlign w:val="center"/>
            <w:hideMark/>
          </w:tcPr>
          <w:p w14:paraId="4C63EEEC" w14:textId="77777777" w:rsidR="00C31AC3" w:rsidRPr="00736D6C" w:rsidRDefault="00C31AC3" w:rsidP="00C31AC3">
            <w:pPr>
              <w:overflowPunct/>
              <w:autoSpaceDE/>
              <w:autoSpaceDN/>
              <w:adjustRightInd/>
              <w:spacing w:after="0"/>
              <w:textAlignment w:val="auto"/>
              <w:rPr>
                <w:rFonts w:ascii="Calibri" w:hAnsi="Calibri" w:cs="Calibri"/>
                <w:color w:val="000000"/>
                <w:sz w:val="18"/>
                <w:szCs w:val="18"/>
                <w:lang w:val="en-US" w:eastAsia="en-US"/>
              </w:rPr>
            </w:pPr>
          </w:p>
        </w:tc>
        <w:tc>
          <w:tcPr>
            <w:tcW w:w="643" w:type="dxa"/>
            <w:tcBorders>
              <w:top w:val="nil"/>
              <w:left w:val="nil"/>
              <w:bottom w:val="single" w:sz="4" w:space="0" w:color="auto"/>
              <w:right w:val="single" w:sz="4" w:space="0" w:color="auto"/>
            </w:tcBorders>
            <w:shd w:val="clear" w:color="auto" w:fill="auto"/>
            <w:noWrap/>
            <w:vAlign w:val="bottom"/>
            <w:hideMark/>
          </w:tcPr>
          <w:p w14:paraId="30D1B5D1" w14:textId="77777777" w:rsidR="00C31AC3" w:rsidRPr="00736D6C" w:rsidRDefault="00C31AC3" w:rsidP="00C31AC3">
            <w:pPr>
              <w:overflowPunct/>
              <w:autoSpaceDE/>
              <w:autoSpaceDN/>
              <w:adjustRightInd/>
              <w:spacing w:after="0"/>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Outer</w:t>
            </w:r>
          </w:p>
        </w:tc>
        <w:tc>
          <w:tcPr>
            <w:tcW w:w="559" w:type="dxa"/>
            <w:tcBorders>
              <w:top w:val="nil"/>
              <w:left w:val="nil"/>
              <w:bottom w:val="single" w:sz="4" w:space="0" w:color="auto"/>
              <w:right w:val="single" w:sz="4" w:space="0" w:color="auto"/>
            </w:tcBorders>
            <w:shd w:val="clear" w:color="auto" w:fill="auto"/>
            <w:noWrap/>
            <w:vAlign w:val="bottom"/>
            <w:hideMark/>
          </w:tcPr>
          <w:p w14:paraId="7838E3D8"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26</w:t>
            </w:r>
          </w:p>
        </w:tc>
        <w:tc>
          <w:tcPr>
            <w:tcW w:w="625" w:type="dxa"/>
            <w:tcBorders>
              <w:top w:val="nil"/>
              <w:left w:val="nil"/>
              <w:bottom w:val="single" w:sz="4" w:space="0" w:color="auto"/>
              <w:right w:val="single" w:sz="4" w:space="0" w:color="auto"/>
            </w:tcBorders>
            <w:shd w:val="clear" w:color="000000" w:fill="FF0000"/>
            <w:noWrap/>
            <w:vAlign w:val="bottom"/>
            <w:hideMark/>
          </w:tcPr>
          <w:p w14:paraId="3989DC44"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-7.9</w:t>
            </w:r>
          </w:p>
        </w:tc>
        <w:tc>
          <w:tcPr>
            <w:tcW w:w="540" w:type="dxa"/>
            <w:tcBorders>
              <w:top w:val="nil"/>
              <w:left w:val="nil"/>
              <w:bottom w:val="single" w:sz="4" w:space="0" w:color="auto"/>
              <w:right w:val="single" w:sz="4" w:space="0" w:color="auto"/>
            </w:tcBorders>
            <w:shd w:val="clear" w:color="000000" w:fill="FF0000"/>
            <w:noWrap/>
            <w:vAlign w:val="bottom"/>
            <w:hideMark/>
          </w:tcPr>
          <w:p w14:paraId="78D3EDD9"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-3.2</w:t>
            </w:r>
          </w:p>
        </w:tc>
        <w:tc>
          <w:tcPr>
            <w:tcW w:w="536" w:type="dxa"/>
            <w:tcBorders>
              <w:top w:val="nil"/>
              <w:left w:val="nil"/>
              <w:bottom w:val="single" w:sz="4" w:space="0" w:color="auto"/>
              <w:right w:val="single" w:sz="4" w:space="0" w:color="auto"/>
            </w:tcBorders>
            <w:shd w:val="clear" w:color="000000" w:fill="00B050"/>
            <w:noWrap/>
            <w:vAlign w:val="bottom"/>
            <w:hideMark/>
          </w:tcPr>
          <w:p w14:paraId="7558932B"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4.2</w:t>
            </w:r>
          </w:p>
        </w:tc>
        <w:tc>
          <w:tcPr>
            <w:tcW w:w="536" w:type="dxa"/>
            <w:tcBorders>
              <w:top w:val="nil"/>
              <w:left w:val="nil"/>
              <w:bottom w:val="single" w:sz="4" w:space="0" w:color="auto"/>
              <w:right w:val="single" w:sz="4" w:space="0" w:color="auto"/>
            </w:tcBorders>
            <w:shd w:val="clear" w:color="000000" w:fill="00B050"/>
            <w:noWrap/>
            <w:vAlign w:val="bottom"/>
            <w:hideMark/>
          </w:tcPr>
          <w:p w14:paraId="6212C3D7"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13.3</w:t>
            </w:r>
          </w:p>
        </w:tc>
        <w:tc>
          <w:tcPr>
            <w:tcW w:w="625" w:type="dxa"/>
            <w:tcBorders>
              <w:top w:val="nil"/>
              <w:left w:val="nil"/>
              <w:bottom w:val="single" w:sz="4" w:space="0" w:color="auto"/>
              <w:right w:val="single" w:sz="4" w:space="0" w:color="auto"/>
            </w:tcBorders>
            <w:shd w:val="clear" w:color="000000" w:fill="FF0000"/>
            <w:noWrap/>
            <w:vAlign w:val="bottom"/>
            <w:hideMark/>
          </w:tcPr>
          <w:p w14:paraId="04F00C9D" w14:textId="2EB64A0A"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-6.5</w:t>
            </w:r>
          </w:p>
        </w:tc>
        <w:tc>
          <w:tcPr>
            <w:tcW w:w="625" w:type="dxa"/>
            <w:tcBorders>
              <w:top w:val="nil"/>
              <w:left w:val="nil"/>
              <w:bottom w:val="single" w:sz="4" w:space="0" w:color="auto"/>
              <w:right w:val="single" w:sz="4" w:space="0" w:color="auto"/>
            </w:tcBorders>
            <w:shd w:val="clear" w:color="000000" w:fill="FF0000"/>
            <w:noWrap/>
            <w:vAlign w:val="bottom"/>
            <w:hideMark/>
          </w:tcPr>
          <w:p w14:paraId="0820A008" w14:textId="03E3B575"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-2.8</w:t>
            </w:r>
          </w:p>
        </w:tc>
        <w:tc>
          <w:tcPr>
            <w:tcW w:w="625" w:type="dxa"/>
            <w:tcBorders>
              <w:top w:val="nil"/>
              <w:left w:val="nil"/>
              <w:bottom w:val="single" w:sz="4" w:space="0" w:color="auto"/>
              <w:right w:val="single" w:sz="4" w:space="0" w:color="auto"/>
            </w:tcBorders>
            <w:shd w:val="clear" w:color="000000" w:fill="92D050"/>
            <w:noWrap/>
            <w:vAlign w:val="bottom"/>
            <w:hideMark/>
          </w:tcPr>
          <w:p w14:paraId="66A800D6" w14:textId="2887CD4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1.8</w:t>
            </w:r>
          </w:p>
        </w:tc>
        <w:tc>
          <w:tcPr>
            <w:tcW w:w="553" w:type="dxa"/>
            <w:tcBorders>
              <w:top w:val="nil"/>
              <w:left w:val="nil"/>
              <w:bottom w:val="single" w:sz="4" w:space="0" w:color="auto"/>
              <w:right w:val="single" w:sz="4" w:space="0" w:color="auto"/>
            </w:tcBorders>
            <w:shd w:val="clear" w:color="000000" w:fill="00B050"/>
            <w:noWrap/>
            <w:vAlign w:val="bottom"/>
            <w:hideMark/>
          </w:tcPr>
          <w:p w14:paraId="5634F8D8" w14:textId="758829CA"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10.1</w:t>
            </w:r>
          </w:p>
        </w:tc>
      </w:tr>
      <w:tr w:rsidR="00C31AC3" w:rsidRPr="00736D6C" w14:paraId="747B9320" w14:textId="77777777" w:rsidTr="00C31AC3">
        <w:trPr>
          <w:trHeight w:val="70"/>
          <w:jc w:val="center"/>
        </w:trPr>
        <w:tc>
          <w:tcPr>
            <w:tcW w:w="1620" w:type="dxa"/>
            <w:tcBorders>
              <w:top w:val="nil"/>
              <w:left w:val="single" w:sz="4" w:space="0" w:color="auto"/>
              <w:bottom w:val="single" w:sz="4" w:space="0" w:color="auto"/>
              <w:right w:val="single" w:sz="4" w:space="0" w:color="auto"/>
            </w:tcBorders>
            <w:shd w:val="clear" w:color="000000" w:fill="FFC000"/>
            <w:noWrap/>
            <w:vAlign w:val="bottom"/>
            <w:hideMark/>
          </w:tcPr>
          <w:p w14:paraId="0328BC83" w14:textId="77777777" w:rsidR="00C31AC3" w:rsidRPr="00736D6C" w:rsidRDefault="00C31AC3" w:rsidP="00C31AC3">
            <w:pPr>
              <w:overflowPunct/>
              <w:autoSpaceDE/>
              <w:autoSpaceDN/>
              <w:adjustRightInd/>
              <w:spacing w:after="0"/>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20M2D075RB014</w:t>
            </w:r>
          </w:p>
        </w:tc>
        <w:tc>
          <w:tcPr>
            <w:tcW w:w="703" w:type="dxa"/>
            <w:vMerge/>
            <w:tcBorders>
              <w:top w:val="nil"/>
              <w:left w:val="single" w:sz="4" w:space="0" w:color="auto"/>
              <w:bottom w:val="single" w:sz="4" w:space="0" w:color="auto"/>
              <w:right w:val="single" w:sz="4" w:space="0" w:color="auto"/>
            </w:tcBorders>
            <w:vAlign w:val="center"/>
            <w:hideMark/>
          </w:tcPr>
          <w:p w14:paraId="4CD4B166" w14:textId="77777777" w:rsidR="00C31AC3" w:rsidRPr="00736D6C" w:rsidRDefault="00C31AC3" w:rsidP="00C31AC3">
            <w:pPr>
              <w:overflowPunct/>
              <w:autoSpaceDE/>
              <w:autoSpaceDN/>
              <w:adjustRightInd/>
              <w:spacing w:after="0"/>
              <w:textAlignment w:val="auto"/>
              <w:rPr>
                <w:rFonts w:ascii="Calibri" w:hAnsi="Calibri" w:cs="Calibri"/>
                <w:color w:val="000000"/>
                <w:sz w:val="18"/>
                <w:szCs w:val="18"/>
                <w:lang w:val="en-US" w:eastAsia="en-US"/>
              </w:rPr>
            </w:pPr>
          </w:p>
        </w:tc>
        <w:tc>
          <w:tcPr>
            <w:tcW w:w="643" w:type="dxa"/>
            <w:tcBorders>
              <w:top w:val="nil"/>
              <w:left w:val="nil"/>
              <w:bottom w:val="single" w:sz="4" w:space="0" w:color="auto"/>
              <w:right w:val="single" w:sz="4" w:space="0" w:color="auto"/>
            </w:tcBorders>
            <w:shd w:val="clear" w:color="auto" w:fill="auto"/>
            <w:noWrap/>
            <w:vAlign w:val="bottom"/>
            <w:hideMark/>
          </w:tcPr>
          <w:p w14:paraId="16A67EA9" w14:textId="77777777" w:rsidR="00C31AC3" w:rsidRPr="00736D6C" w:rsidRDefault="00C31AC3" w:rsidP="00C31AC3">
            <w:pPr>
              <w:overflowPunct/>
              <w:autoSpaceDE/>
              <w:autoSpaceDN/>
              <w:adjustRightInd/>
              <w:spacing w:after="0"/>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Outer</w:t>
            </w:r>
          </w:p>
        </w:tc>
        <w:tc>
          <w:tcPr>
            <w:tcW w:w="559" w:type="dxa"/>
            <w:tcBorders>
              <w:top w:val="nil"/>
              <w:left w:val="nil"/>
              <w:bottom w:val="single" w:sz="4" w:space="0" w:color="auto"/>
              <w:right w:val="single" w:sz="4" w:space="0" w:color="auto"/>
            </w:tcBorders>
            <w:shd w:val="clear" w:color="auto" w:fill="auto"/>
            <w:noWrap/>
            <w:vAlign w:val="bottom"/>
            <w:hideMark/>
          </w:tcPr>
          <w:p w14:paraId="0C55D364"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26</w:t>
            </w:r>
          </w:p>
        </w:tc>
        <w:tc>
          <w:tcPr>
            <w:tcW w:w="625" w:type="dxa"/>
            <w:tcBorders>
              <w:top w:val="nil"/>
              <w:left w:val="nil"/>
              <w:bottom w:val="single" w:sz="4" w:space="0" w:color="auto"/>
              <w:right w:val="single" w:sz="4" w:space="0" w:color="auto"/>
            </w:tcBorders>
            <w:shd w:val="clear" w:color="000000" w:fill="FF0000"/>
            <w:noWrap/>
            <w:vAlign w:val="bottom"/>
            <w:hideMark/>
          </w:tcPr>
          <w:p w14:paraId="539B6D6E"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-5.4</w:t>
            </w:r>
          </w:p>
        </w:tc>
        <w:tc>
          <w:tcPr>
            <w:tcW w:w="540" w:type="dxa"/>
            <w:tcBorders>
              <w:top w:val="nil"/>
              <w:left w:val="nil"/>
              <w:bottom w:val="single" w:sz="4" w:space="0" w:color="auto"/>
              <w:right w:val="single" w:sz="4" w:space="0" w:color="auto"/>
            </w:tcBorders>
            <w:shd w:val="clear" w:color="000000" w:fill="FF0000"/>
            <w:noWrap/>
            <w:vAlign w:val="bottom"/>
            <w:hideMark/>
          </w:tcPr>
          <w:p w14:paraId="0CC20774"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-5.2</w:t>
            </w:r>
          </w:p>
        </w:tc>
        <w:tc>
          <w:tcPr>
            <w:tcW w:w="536" w:type="dxa"/>
            <w:tcBorders>
              <w:top w:val="nil"/>
              <w:left w:val="nil"/>
              <w:bottom w:val="single" w:sz="4" w:space="0" w:color="auto"/>
              <w:right w:val="single" w:sz="4" w:space="0" w:color="auto"/>
            </w:tcBorders>
            <w:shd w:val="clear" w:color="000000" w:fill="00B050"/>
            <w:noWrap/>
            <w:vAlign w:val="bottom"/>
            <w:hideMark/>
          </w:tcPr>
          <w:p w14:paraId="0AA4B59A"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11.1</w:t>
            </w:r>
          </w:p>
        </w:tc>
        <w:tc>
          <w:tcPr>
            <w:tcW w:w="536" w:type="dxa"/>
            <w:tcBorders>
              <w:top w:val="nil"/>
              <w:left w:val="nil"/>
              <w:bottom w:val="single" w:sz="4" w:space="0" w:color="auto"/>
              <w:right w:val="single" w:sz="4" w:space="0" w:color="auto"/>
            </w:tcBorders>
            <w:shd w:val="clear" w:color="000000" w:fill="00B050"/>
            <w:noWrap/>
            <w:vAlign w:val="bottom"/>
            <w:hideMark/>
          </w:tcPr>
          <w:p w14:paraId="6BD77ADB"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11.3</w:t>
            </w:r>
          </w:p>
        </w:tc>
        <w:tc>
          <w:tcPr>
            <w:tcW w:w="625" w:type="dxa"/>
            <w:tcBorders>
              <w:top w:val="nil"/>
              <w:left w:val="nil"/>
              <w:bottom w:val="single" w:sz="4" w:space="0" w:color="auto"/>
              <w:right w:val="single" w:sz="4" w:space="0" w:color="auto"/>
            </w:tcBorders>
            <w:shd w:val="clear" w:color="000000" w:fill="FF0000"/>
            <w:noWrap/>
            <w:vAlign w:val="bottom"/>
            <w:hideMark/>
          </w:tcPr>
          <w:p w14:paraId="44912050" w14:textId="4B40CE7F"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-4.2</w:t>
            </w:r>
          </w:p>
        </w:tc>
        <w:tc>
          <w:tcPr>
            <w:tcW w:w="625" w:type="dxa"/>
            <w:tcBorders>
              <w:top w:val="nil"/>
              <w:left w:val="nil"/>
              <w:bottom w:val="single" w:sz="4" w:space="0" w:color="auto"/>
              <w:right w:val="single" w:sz="4" w:space="0" w:color="auto"/>
            </w:tcBorders>
            <w:shd w:val="clear" w:color="000000" w:fill="FF0000"/>
            <w:noWrap/>
            <w:vAlign w:val="bottom"/>
            <w:hideMark/>
          </w:tcPr>
          <w:p w14:paraId="0E91878A" w14:textId="535B0A04"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-4.0</w:t>
            </w:r>
          </w:p>
        </w:tc>
        <w:tc>
          <w:tcPr>
            <w:tcW w:w="625" w:type="dxa"/>
            <w:tcBorders>
              <w:top w:val="nil"/>
              <w:left w:val="nil"/>
              <w:bottom w:val="single" w:sz="4" w:space="0" w:color="auto"/>
              <w:right w:val="single" w:sz="4" w:space="0" w:color="auto"/>
            </w:tcBorders>
            <w:shd w:val="clear" w:color="000000" w:fill="00B050"/>
            <w:noWrap/>
            <w:vAlign w:val="bottom"/>
            <w:hideMark/>
          </w:tcPr>
          <w:p w14:paraId="000970E2" w14:textId="0BE9DB6E"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8.4</w:t>
            </w:r>
          </w:p>
        </w:tc>
        <w:tc>
          <w:tcPr>
            <w:tcW w:w="553" w:type="dxa"/>
            <w:tcBorders>
              <w:top w:val="nil"/>
              <w:left w:val="nil"/>
              <w:bottom w:val="single" w:sz="4" w:space="0" w:color="auto"/>
              <w:right w:val="single" w:sz="4" w:space="0" w:color="auto"/>
            </w:tcBorders>
            <w:shd w:val="clear" w:color="000000" w:fill="00B050"/>
            <w:noWrap/>
            <w:vAlign w:val="bottom"/>
            <w:hideMark/>
          </w:tcPr>
          <w:p w14:paraId="053C46FA" w14:textId="33255C05"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8.6</w:t>
            </w:r>
          </w:p>
        </w:tc>
      </w:tr>
      <w:tr w:rsidR="00C31AC3" w:rsidRPr="00736D6C" w14:paraId="6399675D" w14:textId="77777777" w:rsidTr="00C31AC3">
        <w:trPr>
          <w:trHeight w:val="70"/>
          <w:jc w:val="center"/>
        </w:trPr>
        <w:tc>
          <w:tcPr>
            <w:tcW w:w="1620" w:type="dxa"/>
            <w:tcBorders>
              <w:top w:val="nil"/>
              <w:left w:val="single" w:sz="4" w:space="0" w:color="auto"/>
              <w:bottom w:val="single" w:sz="4" w:space="0" w:color="auto"/>
              <w:right w:val="single" w:sz="4" w:space="0" w:color="auto"/>
            </w:tcBorders>
            <w:shd w:val="clear" w:color="000000" w:fill="FFC000"/>
            <w:noWrap/>
            <w:vAlign w:val="bottom"/>
            <w:hideMark/>
          </w:tcPr>
          <w:p w14:paraId="43C823DC" w14:textId="77777777" w:rsidR="00C31AC3" w:rsidRPr="00736D6C" w:rsidRDefault="00C31AC3" w:rsidP="00C31AC3">
            <w:pPr>
              <w:overflowPunct/>
              <w:autoSpaceDE/>
              <w:autoSpaceDN/>
              <w:adjustRightInd/>
              <w:spacing w:after="0"/>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20M2D100RB000</w:t>
            </w:r>
          </w:p>
        </w:tc>
        <w:tc>
          <w:tcPr>
            <w:tcW w:w="703" w:type="dxa"/>
            <w:vMerge/>
            <w:tcBorders>
              <w:top w:val="nil"/>
              <w:left w:val="single" w:sz="4" w:space="0" w:color="auto"/>
              <w:bottom w:val="single" w:sz="4" w:space="0" w:color="auto"/>
              <w:right w:val="single" w:sz="4" w:space="0" w:color="auto"/>
            </w:tcBorders>
            <w:vAlign w:val="center"/>
            <w:hideMark/>
          </w:tcPr>
          <w:p w14:paraId="701492A6" w14:textId="77777777" w:rsidR="00C31AC3" w:rsidRPr="00736D6C" w:rsidRDefault="00C31AC3" w:rsidP="00C31AC3">
            <w:pPr>
              <w:overflowPunct/>
              <w:autoSpaceDE/>
              <w:autoSpaceDN/>
              <w:adjustRightInd/>
              <w:spacing w:after="0"/>
              <w:textAlignment w:val="auto"/>
              <w:rPr>
                <w:rFonts w:ascii="Calibri" w:hAnsi="Calibri" w:cs="Calibri"/>
                <w:color w:val="000000"/>
                <w:sz w:val="18"/>
                <w:szCs w:val="18"/>
                <w:lang w:val="en-US" w:eastAsia="en-US"/>
              </w:rPr>
            </w:pPr>
          </w:p>
        </w:tc>
        <w:tc>
          <w:tcPr>
            <w:tcW w:w="643" w:type="dxa"/>
            <w:tcBorders>
              <w:top w:val="nil"/>
              <w:left w:val="nil"/>
              <w:bottom w:val="single" w:sz="4" w:space="0" w:color="auto"/>
              <w:right w:val="single" w:sz="4" w:space="0" w:color="auto"/>
            </w:tcBorders>
            <w:shd w:val="clear" w:color="auto" w:fill="auto"/>
            <w:noWrap/>
            <w:vAlign w:val="bottom"/>
            <w:hideMark/>
          </w:tcPr>
          <w:p w14:paraId="604AE170" w14:textId="77777777" w:rsidR="00C31AC3" w:rsidRPr="00736D6C" w:rsidRDefault="00C31AC3" w:rsidP="00C31AC3">
            <w:pPr>
              <w:overflowPunct/>
              <w:autoSpaceDE/>
              <w:autoSpaceDN/>
              <w:adjustRightInd/>
              <w:spacing w:after="0"/>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Outer</w:t>
            </w:r>
          </w:p>
        </w:tc>
        <w:tc>
          <w:tcPr>
            <w:tcW w:w="559" w:type="dxa"/>
            <w:tcBorders>
              <w:top w:val="nil"/>
              <w:left w:val="nil"/>
              <w:bottom w:val="single" w:sz="4" w:space="0" w:color="auto"/>
              <w:right w:val="single" w:sz="4" w:space="0" w:color="auto"/>
            </w:tcBorders>
            <w:shd w:val="clear" w:color="auto" w:fill="auto"/>
            <w:noWrap/>
            <w:vAlign w:val="bottom"/>
            <w:hideMark/>
          </w:tcPr>
          <w:p w14:paraId="33B77EB3"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26</w:t>
            </w:r>
          </w:p>
        </w:tc>
        <w:tc>
          <w:tcPr>
            <w:tcW w:w="625" w:type="dxa"/>
            <w:tcBorders>
              <w:top w:val="nil"/>
              <w:left w:val="nil"/>
              <w:bottom w:val="single" w:sz="4" w:space="0" w:color="auto"/>
              <w:right w:val="single" w:sz="4" w:space="0" w:color="auto"/>
            </w:tcBorders>
            <w:shd w:val="clear" w:color="000000" w:fill="FF0000"/>
            <w:noWrap/>
            <w:vAlign w:val="bottom"/>
            <w:hideMark/>
          </w:tcPr>
          <w:p w14:paraId="218459EB"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-7.1</w:t>
            </w:r>
          </w:p>
        </w:tc>
        <w:tc>
          <w:tcPr>
            <w:tcW w:w="540" w:type="dxa"/>
            <w:tcBorders>
              <w:top w:val="nil"/>
              <w:left w:val="nil"/>
              <w:bottom w:val="single" w:sz="4" w:space="0" w:color="auto"/>
              <w:right w:val="single" w:sz="4" w:space="0" w:color="auto"/>
            </w:tcBorders>
            <w:shd w:val="clear" w:color="000000" w:fill="FF0000"/>
            <w:noWrap/>
            <w:vAlign w:val="bottom"/>
            <w:hideMark/>
          </w:tcPr>
          <w:p w14:paraId="6D7A4B62"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-6.2</w:t>
            </w:r>
          </w:p>
        </w:tc>
        <w:tc>
          <w:tcPr>
            <w:tcW w:w="536" w:type="dxa"/>
            <w:tcBorders>
              <w:top w:val="nil"/>
              <w:left w:val="nil"/>
              <w:bottom w:val="single" w:sz="4" w:space="0" w:color="auto"/>
              <w:right w:val="single" w:sz="4" w:space="0" w:color="auto"/>
            </w:tcBorders>
            <w:shd w:val="clear" w:color="000000" w:fill="FFFF00"/>
            <w:noWrap/>
            <w:vAlign w:val="bottom"/>
            <w:hideMark/>
          </w:tcPr>
          <w:p w14:paraId="07AAE597"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0.6</w:t>
            </w:r>
          </w:p>
        </w:tc>
        <w:tc>
          <w:tcPr>
            <w:tcW w:w="536" w:type="dxa"/>
            <w:tcBorders>
              <w:top w:val="nil"/>
              <w:left w:val="nil"/>
              <w:bottom w:val="single" w:sz="4" w:space="0" w:color="auto"/>
              <w:right w:val="single" w:sz="4" w:space="0" w:color="auto"/>
            </w:tcBorders>
            <w:shd w:val="clear" w:color="000000" w:fill="92D050"/>
            <w:noWrap/>
            <w:vAlign w:val="bottom"/>
            <w:hideMark/>
          </w:tcPr>
          <w:p w14:paraId="4236966A" w14:textId="77777777"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sidRPr="00736D6C">
              <w:rPr>
                <w:rFonts w:ascii="Calibri" w:hAnsi="Calibri" w:cs="Calibri"/>
                <w:color w:val="000000"/>
                <w:sz w:val="18"/>
                <w:szCs w:val="18"/>
                <w:lang w:val="en-US" w:eastAsia="en-US"/>
              </w:rPr>
              <w:t>2.1</w:t>
            </w:r>
          </w:p>
        </w:tc>
        <w:tc>
          <w:tcPr>
            <w:tcW w:w="625" w:type="dxa"/>
            <w:tcBorders>
              <w:top w:val="nil"/>
              <w:left w:val="nil"/>
              <w:bottom w:val="single" w:sz="4" w:space="0" w:color="auto"/>
              <w:right w:val="single" w:sz="4" w:space="0" w:color="auto"/>
            </w:tcBorders>
            <w:shd w:val="clear" w:color="000000" w:fill="FF0000"/>
            <w:noWrap/>
            <w:vAlign w:val="bottom"/>
            <w:hideMark/>
          </w:tcPr>
          <w:p w14:paraId="43354211" w14:textId="53EB7CC4"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-4.3</w:t>
            </w:r>
          </w:p>
        </w:tc>
        <w:tc>
          <w:tcPr>
            <w:tcW w:w="625" w:type="dxa"/>
            <w:tcBorders>
              <w:top w:val="nil"/>
              <w:left w:val="nil"/>
              <w:bottom w:val="single" w:sz="4" w:space="0" w:color="auto"/>
              <w:right w:val="single" w:sz="4" w:space="0" w:color="auto"/>
            </w:tcBorders>
            <w:shd w:val="clear" w:color="000000" w:fill="FF0000"/>
            <w:noWrap/>
            <w:vAlign w:val="bottom"/>
            <w:hideMark/>
          </w:tcPr>
          <w:p w14:paraId="6D344CAE" w14:textId="7F5CF366"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-4.3</w:t>
            </w:r>
          </w:p>
        </w:tc>
        <w:tc>
          <w:tcPr>
            <w:tcW w:w="625" w:type="dxa"/>
            <w:tcBorders>
              <w:top w:val="nil"/>
              <w:left w:val="nil"/>
              <w:bottom w:val="single" w:sz="4" w:space="0" w:color="auto"/>
              <w:right w:val="single" w:sz="4" w:space="0" w:color="auto"/>
            </w:tcBorders>
            <w:shd w:val="clear" w:color="000000" w:fill="FFFF00"/>
            <w:noWrap/>
            <w:vAlign w:val="bottom"/>
            <w:hideMark/>
          </w:tcPr>
          <w:p w14:paraId="0A6EAC7F" w14:textId="13082C23"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0.9</w:t>
            </w:r>
          </w:p>
        </w:tc>
        <w:tc>
          <w:tcPr>
            <w:tcW w:w="553" w:type="dxa"/>
            <w:tcBorders>
              <w:top w:val="nil"/>
              <w:left w:val="nil"/>
              <w:bottom w:val="single" w:sz="4" w:space="0" w:color="auto"/>
              <w:right w:val="single" w:sz="4" w:space="0" w:color="auto"/>
            </w:tcBorders>
            <w:shd w:val="clear" w:color="000000" w:fill="FFFF00"/>
            <w:noWrap/>
            <w:vAlign w:val="bottom"/>
            <w:hideMark/>
          </w:tcPr>
          <w:p w14:paraId="52DC2C39" w14:textId="6BF516BC" w:rsidR="00C31AC3" w:rsidRPr="00736D6C" w:rsidRDefault="00C31AC3" w:rsidP="00C31AC3">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0.9</w:t>
            </w:r>
          </w:p>
        </w:tc>
      </w:tr>
    </w:tbl>
    <w:p w14:paraId="336D5FAB" w14:textId="13339D35" w:rsidR="0003730B" w:rsidRDefault="0003730B" w:rsidP="0010786A">
      <w:pPr>
        <w:pStyle w:val="00BodyText"/>
        <w:spacing w:after="0"/>
        <w:rPr>
          <w:rFonts w:ascii="Times New Roman" w:eastAsiaTheme="minorEastAsia" w:hAnsi="Times New Roman"/>
          <w:sz w:val="20"/>
          <w:lang w:eastAsia="en-GB"/>
        </w:rPr>
      </w:pPr>
    </w:p>
    <w:p w14:paraId="3E22AB8F" w14:textId="41749CB0" w:rsidR="00C31AC3" w:rsidRPr="00C31AC3" w:rsidRDefault="00C31AC3" w:rsidP="00C31AC3">
      <w:pPr>
        <w:pStyle w:val="00BodyText"/>
        <w:spacing w:after="0"/>
        <w:rPr>
          <w:rFonts w:ascii="Times New Roman" w:eastAsiaTheme="minorEastAsia" w:hAnsi="Times New Roman"/>
          <w:b/>
          <w:bCs/>
          <w:sz w:val="20"/>
          <w:lang w:eastAsia="en-GB"/>
        </w:rPr>
      </w:pPr>
      <w:r w:rsidRPr="00C31AC3">
        <w:rPr>
          <w:rFonts w:ascii="Times New Roman" w:eastAsiaTheme="minorEastAsia" w:hAnsi="Times New Roman"/>
          <w:b/>
          <w:bCs/>
          <w:sz w:val="20"/>
          <w:lang w:eastAsia="en-GB"/>
        </w:rPr>
        <w:t>Observations:</w:t>
      </w:r>
    </w:p>
    <w:p w14:paraId="69256510" w14:textId="76E5807F" w:rsidR="00C31AC3" w:rsidRDefault="00C31AC3" w:rsidP="00C31AC3">
      <w:pPr>
        <w:pStyle w:val="00BodyText"/>
        <w:numPr>
          <w:ilvl w:val="0"/>
          <w:numId w:val="47"/>
        </w:numPr>
        <w:spacing w:after="0"/>
        <w:rPr>
          <w:rFonts w:ascii="Times New Roman" w:eastAsiaTheme="minorEastAsia" w:hAnsi="Times New Roman"/>
          <w:b/>
          <w:bCs/>
          <w:sz w:val="20"/>
          <w:lang w:eastAsia="en-GB"/>
        </w:rPr>
      </w:pPr>
      <w:r>
        <w:rPr>
          <w:rFonts w:ascii="Times New Roman" w:eastAsiaTheme="minorEastAsia" w:hAnsi="Times New Roman"/>
          <w:b/>
          <w:bCs/>
          <w:sz w:val="20"/>
          <w:lang w:eastAsia="en-GB"/>
        </w:rPr>
        <w:t xml:space="preserve">All the OOBE are passed for the extended bandwidth ACLR, SEM and SE with the marginal cases being for full allocation. </w:t>
      </w:r>
    </w:p>
    <w:p w14:paraId="31ABDF90" w14:textId="22D220C6" w:rsidR="00C31AC3" w:rsidRDefault="00C31AC3" w:rsidP="00C31AC3">
      <w:pPr>
        <w:pStyle w:val="00BodyText"/>
        <w:numPr>
          <w:ilvl w:val="0"/>
          <w:numId w:val="47"/>
        </w:numPr>
        <w:spacing w:after="0"/>
        <w:rPr>
          <w:rFonts w:ascii="Times New Roman" w:eastAsiaTheme="minorEastAsia" w:hAnsi="Times New Roman"/>
          <w:b/>
          <w:bCs/>
          <w:sz w:val="20"/>
          <w:lang w:eastAsia="en-GB"/>
        </w:rPr>
      </w:pPr>
      <w:r w:rsidRPr="00C31AC3">
        <w:rPr>
          <w:rFonts w:ascii="Times New Roman" w:eastAsiaTheme="minorEastAsia" w:hAnsi="Times New Roman"/>
          <w:b/>
          <w:bCs/>
          <w:sz w:val="20"/>
          <w:lang w:eastAsia="en-GB"/>
        </w:rPr>
        <w:t>As expected</w:t>
      </w:r>
      <w:r>
        <w:rPr>
          <w:rFonts w:ascii="Times New Roman" w:eastAsiaTheme="minorEastAsia" w:hAnsi="Times New Roman"/>
          <w:b/>
          <w:bCs/>
          <w:sz w:val="20"/>
          <w:lang w:eastAsia="en-GB"/>
        </w:rPr>
        <w:t>, most the outer allocations fail the initial UE ACLR or SEM or SE</w:t>
      </w:r>
    </w:p>
    <w:p w14:paraId="6014226E" w14:textId="6E415477" w:rsidR="0010786A" w:rsidRDefault="00C31AC3" w:rsidP="00C31AC3">
      <w:pPr>
        <w:pStyle w:val="00BodyText"/>
        <w:numPr>
          <w:ilvl w:val="0"/>
          <w:numId w:val="47"/>
        </w:numPr>
        <w:spacing w:after="0"/>
        <w:rPr>
          <w:rFonts w:ascii="Times New Roman" w:eastAsiaTheme="minorEastAsia" w:hAnsi="Times New Roman"/>
          <w:b/>
          <w:bCs/>
          <w:sz w:val="20"/>
          <w:lang w:eastAsia="en-GB"/>
        </w:rPr>
      </w:pPr>
      <w:r>
        <w:rPr>
          <w:rFonts w:ascii="Times New Roman" w:eastAsiaTheme="minorEastAsia" w:hAnsi="Times New Roman"/>
          <w:b/>
          <w:bCs/>
          <w:sz w:val="20"/>
          <w:lang w:eastAsia="en-GB"/>
        </w:rPr>
        <w:t xml:space="preserve">The </w:t>
      </w:r>
      <w:r w:rsidR="0010786A">
        <w:rPr>
          <w:rFonts w:ascii="Times New Roman" w:eastAsiaTheme="minorEastAsia" w:hAnsi="Times New Roman"/>
          <w:b/>
          <w:bCs/>
          <w:sz w:val="20"/>
          <w:lang w:eastAsia="en-GB"/>
        </w:rPr>
        <w:t xml:space="preserve">yellow </w:t>
      </w:r>
      <w:r>
        <w:rPr>
          <w:rFonts w:ascii="Times New Roman" w:eastAsiaTheme="minorEastAsia" w:hAnsi="Times New Roman"/>
          <w:b/>
          <w:bCs/>
          <w:sz w:val="20"/>
          <w:lang w:eastAsia="en-GB"/>
        </w:rPr>
        <w:t xml:space="preserve">allocations that can be turned into inner with </w:t>
      </w:r>
      <w:proofErr w:type="gramStart"/>
      <w:r>
        <w:rPr>
          <w:rFonts w:ascii="Times New Roman" w:eastAsiaTheme="minorEastAsia" w:hAnsi="Times New Roman"/>
          <w:b/>
          <w:bCs/>
          <w:sz w:val="20"/>
          <w:lang w:eastAsia="en-GB"/>
        </w:rPr>
        <w:t>ceil(</w:t>
      </w:r>
      <w:proofErr w:type="gramEnd"/>
      <w:r>
        <w:rPr>
          <w:rFonts w:ascii="Times New Roman" w:eastAsiaTheme="minorEastAsia" w:hAnsi="Times New Roman"/>
          <w:b/>
          <w:bCs/>
          <w:sz w:val="20"/>
          <w:lang w:eastAsia="en-GB"/>
        </w:rPr>
        <w:t xml:space="preserve">NRB/2) extension on the lower side </w:t>
      </w:r>
      <w:r w:rsidR="0010786A">
        <w:rPr>
          <w:rFonts w:ascii="Times New Roman" w:eastAsiaTheme="minorEastAsia" w:hAnsi="Times New Roman"/>
          <w:b/>
          <w:bCs/>
          <w:sz w:val="20"/>
          <w:lang w:eastAsia="en-GB"/>
        </w:rPr>
        <w:t>pass the initial UE ACLR/SEM/SE on the upper side and the extended ACLR/SEM/SE on the lower side. Thus, they are confirmed for MPR reduction.</w:t>
      </w:r>
    </w:p>
    <w:p w14:paraId="4080C6E0" w14:textId="683C5979" w:rsidR="0010786A" w:rsidRDefault="0010786A" w:rsidP="0010786A">
      <w:pPr>
        <w:pStyle w:val="00BodyText"/>
        <w:numPr>
          <w:ilvl w:val="0"/>
          <w:numId w:val="47"/>
        </w:numPr>
        <w:spacing w:after="0"/>
        <w:rPr>
          <w:rFonts w:ascii="Times New Roman" w:eastAsiaTheme="minorEastAsia" w:hAnsi="Times New Roman"/>
          <w:b/>
          <w:bCs/>
          <w:sz w:val="20"/>
          <w:lang w:eastAsia="en-GB"/>
        </w:rPr>
      </w:pPr>
      <w:r>
        <w:rPr>
          <w:rFonts w:ascii="Times New Roman" w:eastAsiaTheme="minorEastAsia" w:hAnsi="Times New Roman"/>
          <w:b/>
          <w:bCs/>
          <w:sz w:val="20"/>
          <w:lang w:eastAsia="en-GB"/>
        </w:rPr>
        <w:t xml:space="preserve">The </w:t>
      </w:r>
      <w:r>
        <w:rPr>
          <w:rFonts w:ascii="Times New Roman" w:eastAsiaTheme="minorEastAsia" w:hAnsi="Times New Roman"/>
          <w:b/>
          <w:bCs/>
          <w:sz w:val="20"/>
          <w:lang w:eastAsia="en-GB"/>
        </w:rPr>
        <w:t>orange</w:t>
      </w:r>
      <w:r>
        <w:rPr>
          <w:rFonts w:ascii="Times New Roman" w:eastAsiaTheme="minorEastAsia" w:hAnsi="Times New Roman"/>
          <w:b/>
          <w:bCs/>
          <w:sz w:val="20"/>
          <w:lang w:eastAsia="en-GB"/>
        </w:rPr>
        <w:t xml:space="preserve"> allocations that can be turned into inner with </w:t>
      </w:r>
      <w:proofErr w:type="gramStart"/>
      <w:r>
        <w:rPr>
          <w:rFonts w:ascii="Times New Roman" w:eastAsiaTheme="minorEastAsia" w:hAnsi="Times New Roman"/>
          <w:b/>
          <w:bCs/>
          <w:sz w:val="20"/>
          <w:lang w:eastAsia="en-GB"/>
        </w:rPr>
        <w:t>ceil(</w:t>
      </w:r>
      <w:proofErr w:type="gramEnd"/>
      <w:r>
        <w:rPr>
          <w:rFonts w:ascii="Times New Roman" w:eastAsiaTheme="minorEastAsia" w:hAnsi="Times New Roman"/>
          <w:b/>
          <w:bCs/>
          <w:sz w:val="20"/>
          <w:lang w:eastAsia="en-GB"/>
        </w:rPr>
        <w:t xml:space="preserve">NRB/2) extension on </w:t>
      </w:r>
      <w:r>
        <w:rPr>
          <w:rFonts w:ascii="Times New Roman" w:eastAsiaTheme="minorEastAsia" w:hAnsi="Times New Roman"/>
          <w:b/>
          <w:bCs/>
          <w:sz w:val="20"/>
          <w:lang w:eastAsia="en-GB"/>
        </w:rPr>
        <w:t>both</w:t>
      </w:r>
      <w:r>
        <w:rPr>
          <w:rFonts w:ascii="Times New Roman" w:eastAsiaTheme="minorEastAsia" w:hAnsi="Times New Roman"/>
          <w:b/>
          <w:bCs/>
          <w:sz w:val="20"/>
          <w:lang w:eastAsia="en-GB"/>
        </w:rPr>
        <w:t xml:space="preserve"> side</w:t>
      </w:r>
      <w:r>
        <w:rPr>
          <w:rFonts w:ascii="Times New Roman" w:eastAsiaTheme="minorEastAsia" w:hAnsi="Times New Roman"/>
          <w:b/>
          <w:bCs/>
          <w:sz w:val="20"/>
          <w:lang w:eastAsia="en-GB"/>
        </w:rPr>
        <w:t>s</w:t>
      </w:r>
      <w:r>
        <w:rPr>
          <w:rFonts w:ascii="Times New Roman" w:eastAsiaTheme="minorEastAsia" w:hAnsi="Times New Roman"/>
          <w:b/>
          <w:bCs/>
          <w:sz w:val="20"/>
          <w:lang w:eastAsia="en-GB"/>
        </w:rPr>
        <w:t xml:space="preserve"> </w:t>
      </w:r>
      <w:r>
        <w:rPr>
          <w:rFonts w:ascii="Times New Roman" w:eastAsiaTheme="minorEastAsia" w:hAnsi="Times New Roman"/>
          <w:b/>
          <w:bCs/>
          <w:sz w:val="20"/>
          <w:lang w:eastAsia="en-GB"/>
        </w:rPr>
        <w:t>fail</w:t>
      </w:r>
      <w:r>
        <w:rPr>
          <w:rFonts w:ascii="Times New Roman" w:eastAsiaTheme="minorEastAsia" w:hAnsi="Times New Roman"/>
          <w:b/>
          <w:bCs/>
          <w:sz w:val="20"/>
          <w:lang w:eastAsia="en-GB"/>
        </w:rPr>
        <w:t xml:space="preserve"> the initial UE ACLR/SEM/SE </w:t>
      </w:r>
      <w:r>
        <w:rPr>
          <w:rFonts w:ascii="Times New Roman" w:eastAsiaTheme="minorEastAsia" w:hAnsi="Times New Roman"/>
          <w:b/>
          <w:bCs/>
          <w:sz w:val="20"/>
          <w:lang w:eastAsia="en-GB"/>
        </w:rPr>
        <w:t>but passes</w:t>
      </w:r>
      <w:r>
        <w:rPr>
          <w:rFonts w:ascii="Times New Roman" w:eastAsiaTheme="minorEastAsia" w:hAnsi="Times New Roman"/>
          <w:b/>
          <w:bCs/>
          <w:sz w:val="20"/>
          <w:lang w:eastAsia="en-GB"/>
        </w:rPr>
        <w:t xml:space="preserve"> the extended ACLR/SEM/SE on </w:t>
      </w:r>
      <w:r>
        <w:rPr>
          <w:rFonts w:ascii="Times New Roman" w:eastAsiaTheme="minorEastAsia" w:hAnsi="Times New Roman"/>
          <w:b/>
          <w:bCs/>
          <w:sz w:val="20"/>
          <w:lang w:eastAsia="en-GB"/>
        </w:rPr>
        <w:t>both</w:t>
      </w:r>
      <w:r>
        <w:rPr>
          <w:rFonts w:ascii="Times New Roman" w:eastAsiaTheme="minorEastAsia" w:hAnsi="Times New Roman"/>
          <w:b/>
          <w:bCs/>
          <w:sz w:val="20"/>
          <w:lang w:eastAsia="en-GB"/>
        </w:rPr>
        <w:t xml:space="preserve"> side</w:t>
      </w:r>
      <w:r>
        <w:rPr>
          <w:rFonts w:ascii="Times New Roman" w:eastAsiaTheme="minorEastAsia" w:hAnsi="Times New Roman"/>
          <w:b/>
          <w:bCs/>
          <w:sz w:val="20"/>
          <w:lang w:eastAsia="en-GB"/>
        </w:rPr>
        <w:t>s</w:t>
      </w:r>
      <w:r>
        <w:rPr>
          <w:rFonts w:ascii="Times New Roman" w:eastAsiaTheme="minorEastAsia" w:hAnsi="Times New Roman"/>
          <w:b/>
          <w:bCs/>
          <w:sz w:val="20"/>
          <w:lang w:eastAsia="en-GB"/>
        </w:rPr>
        <w:t>. Thus</w:t>
      </w:r>
      <w:r>
        <w:rPr>
          <w:rFonts w:ascii="Times New Roman" w:eastAsiaTheme="minorEastAsia" w:hAnsi="Times New Roman"/>
          <w:b/>
          <w:bCs/>
          <w:sz w:val="20"/>
          <w:lang w:eastAsia="en-GB"/>
        </w:rPr>
        <w:t>,</w:t>
      </w:r>
      <w:r>
        <w:rPr>
          <w:rFonts w:ascii="Times New Roman" w:eastAsiaTheme="minorEastAsia" w:hAnsi="Times New Roman"/>
          <w:b/>
          <w:bCs/>
          <w:sz w:val="20"/>
          <w:lang w:eastAsia="en-GB"/>
        </w:rPr>
        <w:t xml:space="preserve"> they are confirmed for MPR reduction</w:t>
      </w:r>
      <w:r>
        <w:rPr>
          <w:rFonts w:ascii="Times New Roman" w:eastAsiaTheme="minorEastAsia" w:hAnsi="Times New Roman"/>
          <w:b/>
          <w:bCs/>
          <w:sz w:val="20"/>
          <w:lang w:eastAsia="en-GB"/>
        </w:rPr>
        <w:t>.</w:t>
      </w:r>
    </w:p>
    <w:p w14:paraId="42EFECC6" w14:textId="77777777" w:rsidR="0010786A" w:rsidRDefault="0010786A" w:rsidP="0010786A">
      <w:pPr>
        <w:pStyle w:val="00BodyText"/>
        <w:spacing w:after="0"/>
        <w:rPr>
          <w:rFonts w:ascii="Times New Roman" w:eastAsiaTheme="minorEastAsia" w:hAnsi="Times New Roman"/>
          <w:b/>
          <w:bCs/>
          <w:sz w:val="20"/>
          <w:lang w:eastAsia="en-GB"/>
        </w:rPr>
      </w:pPr>
    </w:p>
    <w:p w14:paraId="095B3569" w14:textId="48C073A5" w:rsidR="0010786A" w:rsidRDefault="0010786A" w:rsidP="0010786A">
      <w:pPr>
        <w:pStyle w:val="00BodyText"/>
        <w:spacing w:after="0"/>
        <w:rPr>
          <w:rFonts w:ascii="Times New Roman" w:eastAsiaTheme="minorEastAsia" w:hAnsi="Times New Roman"/>
          <w:b/>
          <w:bCs/>
          <w:sz w:val="20"/>
          <w:lang w:eastAsia="en-GB"/>
        </w:rPr>
      </w:pPr>
      <w:r>
        <w:rPr>
          <w:rFonts w:ascii="Times New Roman" w:eastAsiaTheme="minorEastAsia" w:hAnsi="Times New Roman"/>
          <w:b/>
          <w:bCs/>
          <w:sz w:val="20"/>
          <w:lang w:eastAsia="en-GB"/>
        </w:rPr>
        <w:t>Conclusion</w:t>
      </w:r>
      <w:r>
        <w:rPr>
          <w:rFonts w:ascii="Times New Roman" w:eastAsiaTheme="minorEastAsia" w:hAnsi="Times New Roman"/>
          <w:b/>
          <w:bCs/>
          <w:sz w:val="20"/>
          <w:lang w:eastAsia="en-GB"/>
        </w:rPr>
        <w:t>s</w:t>
      </w:r>
      <w:r>
        <w:rPr>
          <w:rFonts w:ascii="Times New Roman" w:eastAsiaTheme="minorEastAsia" w:hAnsi="Times New Roman"/>
          <w:b/>
          <w:bCs/>
          <w:sz w:val="20"/>
          <w:lang w:eastAsia="en-GB"/>
        </w:rPr>
        <w:t xml:space="preserve">: </w:t>
      </w:r>
    </w:p>
    <w:p w14:paraId="0B1CA995" w14:textId="77777777" w:rsidR="0010786A" w:rsidRDefault="0010786A" w:rsidP="0010786A">
      <w:pPr>
        <w:pStyle w:val="00BodyText"/>
        <w:numPr>
          <w:ilvl w:val="0"/>
          <w:numId w:val="48"/>
        </w:numPr>
        <w:spacing w:after="0"/>
        <w:rPr>
          <w:rFonts w:ascii="Times New Roman" w:eastAsiaTheme="minorEastAsia" w:hAnsi="Times New Roman"/>
          <w:b/>
          <w:bCs/>
          <w:sz w:val="20"/>
          <w:lang w:eastAsia="en-GB"/>
        </w:rPr>
      </w:pPr>
      <w:r>
        <w:rPr>
          <w:rFonts w:ascii="Times New Roman" w:eastAsiaTheme="minorEastAsia" w:hAnsi="Times New Roman"/>
          <w:b/>
          <w:bCs/>
          <w:sz w:val="20"/>
          <w:lang w:eastAsia="en-GB"/>
        </w:rPr>
        <w:t xml:space="preserve">The MPR reduction concept is verified for both symmetric and asymmetric </w:t>
      </w:r>
      <w:proofErr w:type="gramStart"/>
      <w:r>
        <w:rPr>
          <w:rFonts w:ascii="Times New Roman" w:eastAsiaTheme="minorEastAsia" w:hAnsi="Times New Roman"/>
          <w:b/>
          <w:bCs/>
          <w:sz w:val="20"/>
          <w:lang w:eastAsia="en-GB"/>
        </w:rPr>
        <w:t>ceil(</w:t>
      </w:r>
      <w:proofErr w:type="gramEnd"/>
      <w:r>
        <w:rPr>
          <w:rFonts w:ascii="Times New Roman" w:eastAsiaTheme="minorEastAsia" w:hAnsi="Times New Roman"/>
          <w:b/>
          <w:bCs/>
          <w:sz w:val="20"/>
          <w:lang w:eastAsia="en-GB"/>
        </w:rPr>
        <w:t xml:space="preserve">NRB/2) extension for PC2 on a 20MHz channel. It should also serve as a verification for PC3 as the ACLR is 1dB less and the SEN/SE requirement is 3dB less stringent. </w:t>
      </w:r>
    </w:p>
    <w:p w14:paraId="65A26197" w14:textId="77777777" w:rsidR="0010786A" w:rsidRDefault="0010786A" w:rsidP="0010786A">
      <w:pPr>
        <w:pStyle w:val="00BodyText"/>
        <w:numPr>
          <w:ilvl w:val="0"/>
          <w:numId w:val="48"/>
        </w:numPr>
        <w:spacing w:after="0"/>
        <w:rPr>
          <w:rFonts w:ascii="Times New Roman" w:eastAsiaTheme="minorEastAsia" w:hAnsi="Times New Roman"/>
          <w:b/>
          <w:bCs/>
          <w:sz w:val="20"/>
          <w:lang w:eastAsia="en-GB"/>
        </w:rPr>
      </w:pPr>
      <w:r>
        <w:rPr>
          <w:rFonts w:ascii="Times New Roman" w:eastAsiaTheme="minorEastAsia" w:hAnsi="Times New Roman"/>
          <w:b/>
          <w:bCs/>
          <w:sz w:val="20"/>
          <w:lang w:eastAsia="en-GB"/>
        </w:rPr>
        <w:t>However, the PC1.5 case may require further verification as the SEM/SE margin is small for the fully allocated waveform and get a further 3dB tighter.</w:t>
      </w:r>
    </w:p>
    <w:p w14:paraId="2186BAFE" w14:textId="77777777" w:rsidR="0010786A" w:rsidRPr="00C31AC3" w:rsidRDefault="0010786A" w:rsidP="0010786A">
      <w:pPr>
        <w:pStyle w:val="00BodyText"/>
        <w:numPr>
          <w:ilvl w:val="0"/>
          <w:numId w:val="48"/>
        </w:numPr>
        <w:spacing w:after="0"/>
        <w:rPr>
          <w:rFonts w:ascii="Times New Roman" w:eastAsiaTheme="minorEastAsia" w:hAnsi="Times New Roman"/>
          <w:b/>
          <w:bCs/>
          <w:sz w:val="20"/>
          <w:lang w:eastAsia="en-GB"/>
        </w:rPr>
      </w:pPr>
      <w:proofErr w:type="gramStart"/>
      <w:r>
        <w:rPr>
          <w:rFonts w:ascii="Times New Roman" w:eastAsiaTheme="minorEastAsia" w:hAnsi="Times New Roman"/>
          <w:b/>
          <w:bCs/>
          <w:sz w:val="20"/>
          <w:lang w:eastAsia="en-GB"/>
        </w:rPr>
        <w:t>Also</w:t>
      </w:r>
      <w:proofErr w:type="gramEnd"/>
      <w:r>
        <w:rPr>
          <w:rFonts w:ascii="Times New Roman" w:eastAsiaTheme="minorEastAsia" w:hAnsi="Times New Roman"/>
          <w:b/>
          <w:bCs/>
          <w:sz w:val="20"/>
          <w:lang w:eastAsia="en-GB"/>
        </w:rPr>
        <w:t xml:space="preserve"> the flexible extension concept will require further verification especially for ACLR.</w:t>
      </w:r>
    </w:p>
    <w:p w14:paraId="716C19CA" w14:textId="77777777" w:rsidR="0003730B" w:rsidRPr="0003730B" w:rsidRDefault="0003730B" w:rsidP="0003730B">
      <w:pPr>
        <w:pStyle w:val="00BodyText"/>
        <w:rPr>
          <w:rFonts w:ascii="Times New Roman" w:eastAsiaTheme="minorEastAsia" w:hAnsi="Times New Roman"/>
          <w:sz w:val="20"/>
          <w:lang w:eastAsia="en-GB"/>
        </w:rPr>
      </w:pPr>
    </w:p>
    <w:p w14:paraId="2003BD52" w14:textId="6C67E9C4" w:rsidR="00AD26DF" w:rsidRDefault="00AD26DF" w:rsidP="00DB0D2C">
      <w:pPr>
        <w:pStyle w:val="Heading2"/>
        <w:ind w:left="0" w:firstLine="0"/>
        <w:rPr>
          <w:rFonts w:eastAsia="Arial"/>
          <w:lang w:eastAsia="zh-CN"/>
        </w:rPr>
      </w:pPr>
      <w:r>
        <w:rPr>
          <w:rFonts w:eastAsia="Arial"/>
          <w:lang w:eastAsia="zh-CN"/>
        </w:rPr>
        <w:t>2.</w:t>
      </w:r>
      <w:r w:rsidR="00671A16">
        <w:rPr>
          <w:rFonts w:eastAsia="Arial"/>
          <w:lang w:eastAsia="zh-CN"/>
        </w:rPr>
        <w:t>3</w:t>
      </w:r>
      <w:r>
        <w:rPr>
          <w:rFonts w:eastAsia="Arial"/>
          <w:lang w:eastAsia="zh-CN"/>
        </w:rPr>
        <w:t xml:space="preserve"> </w:t>
      </w:r>
      <w:r w:rsidR="00C96E0E">
        <w:rPr>
          <w:rFonts w:eastAsia="Arial"/>
          <w:lang w:eastAsia="zh-CN"/>
        </w:rPr>
        <w:t xml:space="preserve">Use of </w:t>
      </w:r>
      <w:r w:rsidR="006E3CD7">
        <w:rPr>
          <w:rFonts w:eastAsia="Arial"/>
          <w:lang w:eastAsia="zh-CN"/>
        </w:rPr>
        <w:t>F</w:t>
      </w:r>
      <w:r w:rsidR="00C96E0E">
        <w:rPr>
          <w:rFonts w:eastAsia="Arial"/>
          <w:lang w:eastAsia="zh-CN"/>
        </w:rPr>
        <w:t>lexible</w:t>
      </w:r>
      <w:r w:rsidR="00C35748">
        <w:rPr>
          <w:rFonts w:eastAsia="Arial"/>
          <w:lang w:eastAsia="zh-CN"/>
        </w:rPr>
        <w:t xml:space="preserve"> RB </w:t>
      </w:r>
      <w:r w:rsidR="006E3CD7">
        <w:rPr>
          <w:rFonts w:eastAsia="Arial"/>
          <w:lang w:eastAsia="zh-CN"/>
        </w:rPr>
        <w:t>E</w:t>
      </w:r>
      <w:r w:rsidR="00C35748">
        <w:rPr>
          <w:rFonts w:eastAsia="Arial"/>
          <w:lang w:eastAsia="zh-CN"/>
        </w:rPr>
        <w:t>xtension</w:t>
      </w:r>
    </w:p>
    <w:p w14:paraId="26C7A7E1" w14:textId="3ACA6945" w:rsidR="00590432" w:rsidRDefault="00671A16" w:rsidP="009523C3">
      <w:pPr>
        <w:widowControl w:val="0"/>
        <w:spacing w:after="0"/>
        <w:rPr>
          <w:rFonts w:eastAsiaTheme="minorEastAsia"/>
          <w:bCs/>
          <w:lang w:eastAsia="zh-CN"/>
        </w:rPr>
      </w:pPr>
      <w:r>
        <w:rPr>
          <w:rFonts w:eastAsiaTheme="minorEastAsia"/>
          <w:bCs/>
          <w:lang w:eastAsia="zh-CN"/>
        </w:rPr>
        <w:t>In the previous chapter</w:t>
      </w:r>
      <w:r w:rsidR="006E3CD7">
        <w:rPr>
          <w:rFonts w:eastAsiaTheme="minorEastAsia"/>
          <w:bCs/>
          <w:lang w:eastAsia="zh-CN"/>
        </w:rPr>
        <w:t>,</w:t>
      </w:r>
      <w:r>
        <w:rPr>
          <w:rFonts w:eastAsiaTheme="minorEastAsia"/>
          <w:bCs/>
          <w:lang w:eastAsia="zh-CN"/>
        </w:rPr>
        <w:t xml:space="preserve"> we focus</w:t>
      </w:r>
      <w:r w:rsidR="006E3CD7">
        <w:rPr>
          <w:rFonts w:eastAsiaTheme="minorEastAsia"/>
          <w:bCs/>
          <w:lang w:eastAsia="zh-CN"/>
        </w:rPr>
        <w:t>ed</w:t>
      </w:r>
      <w:r>
        <w:rPr>
          <w:rFonts w:eastAsiaTheme="minorEastAsia"/>
          <w:bCs/>
          <w:lang w:eastAsia="zh-CN"/>
        </w:rPr>
        <w:t xml:space="preserve"> our discussion on the case where the extended bandwidth is limited to RB</w:t>
      </w:r>
      <w:r w:rsidR="006E3CD7">
        <w:rPr>
          <w:rFonts w:eastAsiaTheme="minorEastAsia"/>
          <w:bCs/>
          <w:lang w:eastAsia="zh-CN"/>
        </w:rPr>
        <w:t>-</w:t>
      </w:r>
      <w:r>
        <w:rPr>
          <w:rFonts w:eastAsiaTheme="minorEastAsia"/>
          <w:bCs/>
          <w:lang w:eastAsia="zh-CN"/>
        </w:rPr>
        <w:t xml:space="preserve">based extension of </w:t>
      </w:r>
      <w:proofErr w:type="gramStart"/>
      <w:r>
        <w:rPr>
          <w:rFonts w:eastAsiaTheme="minorEastAsia"/>
          <w:bCs/>
          <w:lang w:eastAsia="zh-CN"/>
        </w:rPr>
        <w:t>ceil(</w:t>
      </w:r>
      <w:proofErr w:type="gramEnd"/>
      <w:r>
        <w:rPr>
          <w:rFonts w:eastAsiaTheme="minorEastAsia"/>
          <w:bCs/>
          <w:lang w:eastAsia="zh-CN"/>
        </w:rPr>
        <w:t xml:space="preserve">NRB/2) as it is the baseline </w:t>
      </w:r>
      <w:r w:rsidR="00EE7ADB">
        <w:rPr>
          <w:rFonts w:eastAsiaTheme="minorEastAsia"/>
          <w:bCs/>
          <w:lang w:eastAsia="zh-CN"/>
        </w:rPr>
        <w:t>and it is easier to explain the exten</w:t>
      </w:r>
      <w:r w:rsidR="00277519">
        <w:rPr>
          <w:rFonts w:eastAsiaTheme="minorEastAsia"/>
          <w:bCs/>
          <w:lang w:eastAsia="zh-CN"/>
        </w:rPr>
        <w:t>ded RB and associated guard</w:t>
      </w:r>
      <w:r w:rsidR="006E3CD7">
        <w:rPr>
          <w:rFonts w:eastAsiaTheme="minorEastAsia"/>
          <w:bCs/>
          <w:lang w:eastAsia="zh-CN"/>
        </w:rPr>
        <w:t xml:space="preserve"> </w:t>
      </w:r>
      <w:r w:rsidR="00277519">
        <w:rPr>
          <w:rFonts w:eastAsiaTheme="minorEastAsia"/>
          <w:bCs/>
          <w:lang w:eastAsia="zh-CN"/>
        </w:rPr>
        <w:t>band concept.</w:t>
      </w:r>
      <w:r w:rsidR="000168C7">
        <w:rPr>
          <w:rFonts w:eastAsiaTheme="minorEastAsia"/>
          <w:bCs/>
          <w:lang w:eastAsia="zh-CN"/>
        </w:rPr>
        <w:t xml:space="preserve"> However, we see </w:t>
      </w:r>
      <w:r w:rsidR="006E3CD7">
        <w:rPr>
          <w:rFonts w:eastAsiaTheme="minorEastAsia"/>
          <w:bCs/>
          <w:lang w:eastAsia="zh-CN"/>
        </w:rPr>
        <w:t>added</w:t>
      </w:r>
      <w:r w:rsidR="000168C7">
        <w:rPr>
          <w:rFonts w:eastAsiaTheme="minorEastAsia"/>
          <w:bCs/>
          <w:lang w:eastAsia="zh-CN"/>
        </w:rPr>
        <w:t xml:space="preserve"> value </w:t>
      </w:r>
      <w:r w:rsidR="006E3CD7">
        <w:rPr>
          <w:rFonts w:eastAsiaTheme="minorEastAsia"/>
          <w:bCs/>
          <w:lang w:eastAsia="zh-CN"/>
        </w:rPr>
        <w:t>in</w:t>
      </w:r>
      <w:r w:rsidR="000168C7">
        <w:rPr>
          <w:rFonts w:eastAsiaTheme="minorEastAsia"/>
          <w:bCs/>
          <w:lang w:eastAsia="zh-CN"/>
        </w:rPr>
        <w:t xml:space="preserve"> further enabl</w:t>
      </w:r>
      <w:r w:rsidR="006E3CD7">
        <w:rPr>
          <w:rFonts w:eastAsiaTheme="minorEastAsia"/>
          <w:bCs/>
          <w:lang w:eastAsia="zh-CN"/>
        </w:rPr>
        <w:t>ing</w:t>
      </w:r>
      <w:r w:rsidR="000168C7">
        <w:rPr>
          <w:rFonts w:eastAsiaTheme="minorEastAsia"/>
          <w:bCs/>
          <w:lang w:eastAsia="zh-CN"/>
        </w:rPr>
        <w:t xml:space="preserve"> a flexible </w:t>
      </w:r>
      <w:r w:rsidR="001F4DB2">
        <w:rPr>
          <w:rFonts w:eastAsiaTheme="minorEastAsia"/>
          <w:bCs/>
          <w:lang w:eastAsia="zh-CN"/>
        </w:rPr>
        <w:t>RB extension:</w:t>
      </w:r>
    </w:p>
    <w:p w14:paraId="2283AF21" w14:textId="23FAB11A" w:rsidR="001F4DB2" w:rsidRDefault="001F4DB2" w:rsidP="001F4DB2">
      <w:pPr>
        <w:pStyle w:val="ListParagraph"/>
        <w:widowControl w:val="0"/>
        <w:numPr>
          <w:ilvl w:val="0"/>
          <w:numId w:val="44"/>
        </w:numPr>
        <w:spacing w:after="0"/>
        <w:ind w:firstLineChars="0"/>
        <w:rPr>
          <w:rFonts w:eastAsiaTheme="minorEastAsia"/>
          <w:bCs/>
          <w:lang w:eastAsia="zh-CN"/>
        </w:rPr>
      </w:pPr>
      <w:r>
        <w:rPr>
          <w:rFonts w:eastAsiaTheme="minorEastAsia"/>
          <w:bCs/>
          <w:lang w:eastAsia="zh-CN"/>
        </w:rPr>
        <w:t>First</w:t>
      </w:r>
      <w:r w:rsidR="006E3CD7">
        <w:rPr>
          <w:rFonts w:eastAsiaTheme="minorEastAsia"/>
          <w:bCs/>
          <w:lang w:eastAsia="zh-CN"/>
        </w:rPr>
        <w:t>,</w:t>
      </w:r>
      <w:r>
        <w:rPr>
          <w:rFonts w:eastAsiaTheme="minorEastAsia"/>
          <w:bCs/>
          <w:lang w:eastAsia="zh-CN"/>
        </w:rPr>
        <w:t xml:space="preserve"> the MPR </w:t>
      </w:r>
      <w:r w:rsidR="006E3CD7">
        <w:rPr>
          <w:rFonts w:eastAsiaTheme="minorEastAsia"/>
          <w:bCs/>
          <w:lang w:eastAsia="zh-CN"/>
        </w:rPr>
        <w:t>r</w:t>
      </w:r>
      <w:r>
        <w:rPr>
          <w:rFonts w:eastAsiaTheme="minorEastAsia"/>
          <w:bCs/>
          <w:lang w:eastAsia="zh-CN"/>
        </w:rPr>
        <w:t xml:space="preserve">eduction benefits the cell edge by allowing larger LCRB to transmitted with higher power. Any increase in size from the initial NRB/2 is of interest even if lower than 2xNRB or 3/2xNRB. For 20MHz </w:t>
      </w:r>
      <w:r w:rsidR="00556E3A">
        <w:rPr>
          <w:rFonts w:eastAsiaTheme="minorEastAsia"/>
          <w:bCs/>
          <w:lang w:eastAsia="zh-CN"/>
        </w:rPr>
        <w:t xml:space="preserve">for example, </w:t>
      </w:r>
      <w:r>
        <w:rPr>
          <w:rFonts w:eastAsiaTheme="minorEastAsia"/>
          <w:bCs/>
          <w:lang w:eastAsia="zh-CN"/>
        </w:rPr>
        <w:t>the inner is 53RB, the 2x extension is 106 RB and the 1.5x extension is 78RB</w:t>
      </w:r>
      <w:r w:rsidR="00556E3A">
        <w:rPr>
          <w:rFonts w:eastAsiaTheme="minorEastAsia"/>
          <w:bCs/>
          <w:lang w:eastAsia="zh-CN"/>
        </w:rPr>
        <w:t>,</w:t>
      </w:r>
      <w:r>
        <w:rPr>
          <w:rFonts w:eastAsiaTheme="minorEastAsia"/>
          <w:bCs/>
          <w:lang w:eastAsia="zh-CN"/>
        </w:rPr>
        <w:t xml:space="preserve"> but increasing to 60R</w:t>
      </w:r>
      <w:r w:rsidR="00556E3A">
        <w:rPr>
          <w:rFonts w:eastAsiaTheme="minorEastAsia"/>
          <w:bCs/>
          <w:lang w:eastAsia="zh-CN"/>
        </w:rPr>
        <w:t>B</w:t>
      </w:r>
      <w:r>
        <w:rPr>
          <w:rFonts w:eastAsiaTheme="minorEastAsia"/>
          <w:bCs/>
          <w:lang w:eastAsia="zh-CN"/>
        </w:rPr>
        <w:t xml:space="preserve"> is already of interest.</w:t>
      </w:r>
    </w:p>
    <w:p w14:paraId="009F1FAF" w14:textId="1E9801D5" w:rsidR="001F4DB2" w:rsidRDefault="001F4DB2" w:rsidP="001F4DB2">
      <w:pPr>
        <w:pStyle w:val="ListParagraph"/>
        <w:widowControl w:val="0"/>
        <w:numPr>
          <w:ilvl w:val="0"/>
          <w:numId w:val="44"/>
        </w:numPr>
        <w:spacing w:after="0"/>
        <w:ind w:firstLineChars="0"/>
        <w:rPr>
          <w:rFonts w:eastAsiaTheme="minorEastAsia"/>
          <w:bCs/>
          <w:lang w:eastAsia="zh-CN"/>
        </w:rPr>
      </w:pPr>
      <w:r>
        <w:rPr>
          <w:rFonts w:eastAsiaTheme="minorEastAsia"/>
          <w:bCs/>
          <w:lang w:eastAsia="zh-CN"/>
        </w:rPr>
        <w:t>Similarly</w:t>
      </w:r>
      <w:r w:rsidR="00556E3A">
        <w:rPr>
          <w:rFonts w:eastAsiaTheme="minorEastAsia"/>
          <w:bCs/>
          <w:lang w:eastAsia="zh-CN"/>
        </w:rPr>
        <w:t xml:space="preserve">, </w:t>
      </w:r>
      <w:r>
        <w:rPr>
          <w:rFonts w:eastAsiaTheme="minorEastAsia"/>
          <w:bCs/>
          <w:lang w:eastAsia="zh-CN"/>
        </w:rPr>
        <w:t>it is of interest to have more flexibility to place small RB allocation at cell edge anywhere within the channel and transmit with reduced MPR even at the channel edge</w:t>
      </w:r>
      <w:r w:rsidR="00556E3A">
        <w:rPr>
          <w:rFonts w:eastAsiaTheme="minorEastAsia"/>
          <w:bCs/>
          <w:lang w:eastAsia="zh-CN"/>
        </w:rPr>
        <w:t>.</w:t>
      </w:r>
    </w:p>
    <w:p w14:paraId="1A33A72F" w14:textId="5D551CAE" w:rsidR="001F4DB2" w:rsidRDefault="001F4DB2" w:rsidP="001F4DB2">
      <w:pPr>
        <w:pStyle w:val="ListParagraph"/>
        <w:widowControl w:val="0"/>
        <w:numPr>
          <w:ilvl w:val="0"/>
          <w:numId w:val="44"/>
        </w:numPr>
        <w:spacing w:after="0"/>
        <w:ind w:firstLineChars="0"/>
        <w:rPr>
          <w:rFonts w:eastAsiaTheme="minorEastAsia"/>
          <w:bCs/>
          <w:lang w:eastAsia="zh-CN"/>
        </w:rPr>
      </w:pPr>
      <w:proofErr w:type="spellStart"/>
      <w:r>
        <w:rPr>
          <w:rFonts w:eastAsiaTheme="minorEastAsia"/>
          <w:bCs/>
          <w:lang w:eastAsia="zh-CN"/>
        </w:rPr>
        <w:t>RedCap</w:t>
      </w:r>
      <w:proofErr w:type="spellEnd"/>
      <w:r>
        <w:rPr>
          <w:rFonts w:eastAsiaTheme="minorEastAsia"/>
          <w:bCs/>
          <w:lang w:eastAsia="zh-CN"/>
        </w:rPr>
        <w:t xml:space="preserve"> and </w:t>
      </w:r>
      <w:proofErr w:type="spellStart"/>
      <w:r>
        <w:rPr>
          <w:rFonts w:eastAsiaTheme="minorEastAsia"/>
          <w:bCs/>
          <w:lang w:eastAsia="zh-CN"/>
        </w:rPr>
        <w:t>eRedCap</w:t>
      </w:r>
      <w:proofErr w:type="spellEnd"/>
      <w:r>
        <w:rPr>
          <w:rFonts w:eastAsiaTheme="minorEastAsia"/>
          <w:bCs/>
          <w:lang w:eastAsia="zh-CN"/>
        </w:rPr>
        <w:t xml:space="preserve"> devices may be placed anywhere within a 100MHz channel and thus may have less than NRB/2 possible extension at least on one side.</w:t>
      </w:r>
    </w:p>
    <w:p w14:paraId="7035DC66" w14:textId="575A675D" w:rsidR="001F4DB2" w:rsidRDefault="001F4DB2" w:rsidP="001F4DB2">
      <w:pPr>
        <w:pStyle w:val="ListParagraph"/>
        <w:widowControl w:val="0"/>
        <w:numPr>
          <w:ilvl w:val="0"/>
          <w:numId w:val="44"/>
        </w:numPr>
        <w:spacing w:after="0"/>
        <w:ind w:firstLineChars="0"/>
        <w:rPr>
          <w:rFonts w:eastAsiaTheme="minorEastAsia"/>
          <w:bCs/>
          <w:lang w:eastAsia="zh-CN"/>
        </w:rPr>
      </w:pPr>
      <w:r>
        <w:rPr>
          <w:rFonts w:eastAsiaTheme="minorEastAsia"/>
          <w:bCs/>
          <w:lang w:eastAsia="zh-CN"/>
        </w:rPr>
        <w:t xml:space="preserve">In the contiguous CA case, the two channels may be very different, </w:t>
      </w:r>
      <w:r w:rsidR="00556E3A">
        <w:rPr>
          <w:rFonts w:eastAsiaTheme="minorEastAsia"/>
          <w:bCs/>
          <w:lang w:eastAsia="zh-CN"/>
        </w:rPr>
        <w:t xml:space="preserve">(e.g., </w:t>
      </w:r>
      <w:r>
        <w:rPr>
          <w:rFonts w:eastAsiaTheme="minorEastAsia"/>
          <w:bCs/>
          <w:lang w:eastAsia="zh-CN"/>
        </w:rPr>
        <w:t>100MHz+20MHz</w:t>
      </w:r>
      <w:r w:rsidR="00556E3A">
        <w:rPr>
          <w:rFonts w:eastAsiaTheme="minorEastAsia"/>
          <w:bCs/>
          <w:lang w:eastAsia="zh-CN"/>
        </w:rPr>
        <w:t>)</w:t>
      </w:r>
      <w:r>
        <w:rPr>
          <w:rFonts w:eastAsiaTheme="minorEastAsia"/>
          <w:bCs/>
          <w:lang w:eastAsia="zh-CN"/>
        </w:rPr>
        <w:t xml:space="preserve">. </w:t>
      </w:r>
      <w:proofErr w:type="gramStart"/>
      <w:r w:rsidR="00556E3A">
        <w:rPr>
          <w:rFonts w:eastAsiaTheme="minorEastAsia"/>
          <w:bCs/>
          <w:lang w:eastAsia="zh-CN"/>
        </w:rPr>
        <w:t>I</w:t>
      </w:r>
      <w:r>
        <w:rPr>
          <w:rFonts w:eastAsiaTheme="minorEastAsia"/>
          <w:bCs/>
          <w:lang w:eastAsia="zh-CN"/>
        </w:rPr>
        <w:t>n order for</w:t>
      </w:r>
      <w:proofErr w:type="gramEnd"/>
      <w:r>
        <w:rPr>
          <w:rFonts w:eastAsiaTheme="minorEastAsia"/>
          <w:bCs/>
          <w:lang w:eastAsia="zh-CN"/>
        </w:rPr>
        <w:t xml:space="preserve"> the 100MHz </w:t>
      </w:r>
      <w:r w:rsidR="00556E3A">
        <w:rPr>
          <w:rFonts w:eastAsiaTheme="minorEastAsia"/>
          <w:bCs/>
          <w:lang w:eastAsia="zh-CN"/>
        </w:rPr>
        <w:t xml:space="preserve">channel </w:t>
      </w:r>
      <w:r>
        <w:rPr>
          <w:rFonts w:eastAsiaTheme="minorEastAsia"/>
          <w:bCs/>
          <w:lang w:eastAsia="zh-CN"/>
        </w:rPr>
        <w:t>to benefit from the reduced MPR for more allocations, the extension needs to be 20MHz or NRB/5</w:t>
      </w:r>
      <w:r w:rsidR="00556E3A">
        <w:rPr>
          <w:rFonts w:eastAsiaTheme="minorEastAsia"/>
          <w:bCs/>
          <w:lang w:eastAsia="zh-CN"/>
        </w:rPr>
        <w:t>.</w:t>
      </w:r>
    </w:p>
    <w:p w14:paraId="2ADFDDC2" w14:textId="423C4F39" w:rsidR="00C34AD8" w:rsidRDefault="00C34AD8" w:rsidP="00C34AD8">
      <w:pPr>
        <w:widowControl w:val="0"/>
        <w:spacing w:after="0"/>
        <w:rPr>
          <w:rFonts w:eastAsiaTheme="minorEastAsia"/>
          <w:bCs/>
          <w:lang w:eastAsia="zh-CN"/>
        </w:rPr>
      </w:pPr>
    </w:p>
    <w:p w14:paraId="3CE957EE" w14:textId="0AEFD7A2" w:rsidR="00C34AD8" w:rsidRDefault="00C34AD8" w:rsidP="00C34AD8">
      <w:pPr>
        <w:widowControl w:val="0"/>
        <w:spacing w:after="0"/>
        <w:rPr>
          <w:rFonts w:eastAsiaTheme="minorEastAsia"/>
          <w:bCs/>
          <w:lang w:eastAsia="zh-CN"/>
        </w:rPr>
      </w:pPr>
      <w:r>
        <w:rPr>
          <w:rFonts w:eastAsiaTheme="minorEastAsia"/>
          <w:bCs/>
          <w:lang w:eastAsia="zh-CN"/>
        </w:rPr>
        <w:t>Figure 3 illustrates such cases:</w:t>
      </w:r>
    </w:p>
    <w:p w14:paraId="5FA66A65" w14:textId="77777777" w:rsidR="00C34AD8" w:rsidRDefault="00C34AD8" w:rsidP="00C34AD8">
      <w:pPr>
        <w:pStyle w:val="ListParagraph"/>
        <w:widowControl w:val="0"/>
        <w:numPr>
          <w:ilvl w:val="0"/>
          <w:numId w:val="30"/>
        </w:numPr>
        <w:spacing w:after="0"/>
        <w:ind w:firstLineChars="0"/>
        <w:rPr>
          <w:rFonts w:eastAsiaTheme="minorEastAsia"/>
          <w:bCs/>
          <w:lang w:eastAsia="zh-CN"/>
        </w:rPr>
      </w:pPr>
      <w:r>
        <w:rPr>
          <w:rFonts w:eastAsiaTheme="minorEastAsia"/>
          <w:bCs/>
          <w:lang w:eastAsia="zh-CN"/>
        </w:rPr>
        <w:t>The BS NRB (NRB_NW in orange) is 32RB and the related GBNW (light orange) is higher than the maximum guard band of the next lower/next higher CBW, as related to the UEs extended bandwidths.</w:t>
      </w:r>
    </w:p>
    <w:p w14:paraId="0E4C8D98" w14:textId="77777777" w:rsidR="00C34AD8" w:rsidRDefault="00C34AD8" w:rsidP="00C34AD8">
      <w:pPr>
        <w:pStyle w:val="ListParagraph"/>
        <w:widowControl w:val="0"/>
        <w:numPr>
          <w:ilvl w:val="1"/>
          <w:numId w:val="30"/>
        </w:numPr>
        <w:spacing w:after="0"/>
        <w:ind w:firstLineChars="0"/>
        <w:rPr>
          <w:rFonts w:eastAsiaTheme="minorEastAsia"/>
          <w:bCs/>
          <w:lang w:eastAsia="zh-CN"/>
        </w:rPr>
      </w:pPr>
      <w:r>
        <w:rPr>
          <w:rFonts w:eastAsiaTheme="minorEastAsia"/>
          <w:bCs/>
          <w:lang w:eastAsia="zh-CN"/>
        </w:rPr>
        <w:t>The related inner/outer/edge allocations are denoted “</w:t>
      </w:r>
      <w:proofErr w:type="spellStart"/>
      <w:r>
        <w:rPr>
          <w:rFonts w:eastAsiaTheme="minorEastAsia"/>
          <w:bCs/>
          <w:lang w:eastAsia="zh-CN"/>
        </w:rPr>
        <w:t>i</w:t>
      </w:r>
      <w:proofErr w:type="spellEnd"/>
      <w:r>
        <w:rPr>
          <w:rFonts w:eastAsiaTheme="minorEastAsia"/>
          <w:bCs/>
          <w:lang w:eastAsia="zh-CN"/>
        </w:rPr>
        <w:t>”</w:t>
      </w:r>
      <w:proofErr w:type="gramStart"/>
      <w:r>
        <w:rPr>
          <w:rFonts w:eastAsiaTheme="minorEastAsia"/>
          <w:bCs/>
          <w:lang w:eastAsia="zh-CN"/>
        </w:rPr>
        <w:t>/”o</w:t>
      </w:r>
      <w:proofErr w:type="gramEnd"/>
      <w:r>
        <w:rPr>
          <w:rFonts w:eastAsiaTheme="minorEastAsia"/>
          <w:bCs/>
          <w:lang w:eastAsia="zh-CN"/>
        </w:rPr>
        <w:t>”/”e” in the allocation triangle.</w:t>
      </w:r>
    </w:p>
    <w:p w14:paraId="29E0BF16" w14:textId="77777777" w:rsidR="00C34AD8" w:rsidRDefault="00C34AD8" w:rsidP="00C34AD8">
      <w:pPr>
        <w:pStyle w:val="ListParagraph"/>
        <w:widowControl w:val="0"/>
        <w:numPr>
          <w:ilvl w:val="0"/>
          <w:numId w:val="30"/>
        </w:numPr>
        <w:spacing w:after="0"/>
        <w:ind w:firstLineChars="0"/>
        <w:rPr>
          <w:rFonts w:eastAsiaTheme="minorEastAsia"/>
          <w:bCs/>
          <w:lang w:eastAsia="zh-CN"/>
        </w:rPr>
      </w:pPr>
      <w:r>
        <w:rPr>
          <w:rFonts w:eastAsiaTheme="minorEastAsia"/>
          <w:bCs/>
          <w:lang w:eastAsia="zh-CN"/>
        </w:rPr>
        <w:t>UE1 has 8RB (NRB_UE1 in blue) at an offset of 4RB within the BS RBs.</w:t>
      </w:r>
    </w:p>
    <w:p w14:paraId="2E0F71AE" w14:textId="77777777" w:rsidR="00C34AD8" w:rsidRDefault="00C34AD8" w:rsidP="00C34AD8">
      <w:pPr>
        <w:pStyle w:val="ListParagraph"/>
        <w:widowControl w:val="0"/>
        <w:numPr>
          <w:ilvl w:val="0"/>
          <w:numId w:val="30"/>
        </w:numPr>
        <w:spacing w:after="0"/>
        <w:ind w:firstLineChars="0"/>
        <w:rPr>
          <w:rFonts w:eastAsiaTheme="minorEastAsia"/>
          <w:bCs/>
          <w:lang w:eastAsia="zh-CN"/>
        </w:rPr>
      </w:pPr>
      <w:r w:rsidRPr="009523C3">
        <w:rPr>
          <w:rFonts w:eastAsiaTheme="minorEastAsia"/>
          <w:bCs/>
          <w:lang w:eastAsia="zh-CN"/>
        </w:rPr>
        <w:t>UE2 has 8RB (NRB_UE</w:t>
      </w:r>
      <w:r>
        <w:rPr>
          <w:rFonts w:eastAsiaTheme="minorEastAsia"/>
          <w:bCs/>
          <w:lang w:eastAsia="zh-CN"/>
        </w:rPr>
        <w:t>2 in brown</w:t>
      </w:r>
      <w:r w:rsidRPr="009523C3">
        <w:rPr>
          <w:rFonts w:eastAsiaTheme="minorEastAsia"/>
          <w:bCs/>
          <w:lang w:eastAsia="zh-CN"/>
        </w:rPr>
        <w:t>) at an offset of 4RB within the BS RBs</w:t>
      </w:r>
      <w:r>
        <w:rPr>
          <w:rFonts w:eastAsiaTheme="minorEastAsia"/>
          <w:bCs/>
          <w:lang w:eastAsia="zh-CN"/>
        </w:rPr>
        <w:t>.</w:t>
      </w:r>
    </w:p>
    <w:p w14:paraId="2188ED04" w14:textId="77777777" w:rsidR="00C34AD8" w:rsidRPr="009523C3" w:rsidRDefault="00C34AD8" w:rsidP="00C34AD8">
      <w:pPr>
        <w:pStyle w:val="ListParagraph"/>
        <w:widowControl w:val="0"/>
        <w:numPr>
          <w:ilvl w:val="1"/>
          <w:numId w:val="30"/>
        </w:numPr>
        <w:spacing w:after="0"/>
        <w:ind w:firstLineChars="0"/>
        <w:rPr>
          <w:rFonts w:eastAsiaTheme="minorEastAsia"/>
          <w:bCs/>
          <w:lang w:eastAsia="zh-CN"/>
        </w:rPr>
      </w:pPr>
      <w:r w:rsidRPr="009523C3">
        <w:rPr>
          <w:rFonts w:eastAsiaTheme="minorEastAsia"/>
          <w:bCs/>
          <w:lang w:eastAsia="zh-CN"/>
        </w:rPr>
        <w:t>The UE</w:t>
      </w:r>
      <w:r>
        <w:rPr>
          <w:rFonts w:eastAsiaTheme="minorEastAsia"/>
          <w:bCs/>
          <w:lang w:eastAsia="zh-CN"/>
        </w:rPr>
        <w:t>s</w:t>
      </w:r>
      <w:r w:rsidRPr="009523C3">
        <w:rPr>
          <w:rFonts w:eastAsiaTheme="minorEastAsia"/>
          <w:bCs/>
          <w:lang w:eastAsia="zh-CN"/>
        </w:rPr>
        <w:t xml:space="preserve"> CBW</w:t>
      </w:r>
      <w:r>
        <w:rPr>
          <w:rFonts w:eastAsiaTheme="minorEastAsia"/>
          <w:bCs/>
          <w:lang w:eastAsia="zh-CN"/>
        </w:rPr>
        <w:t>-</w:t>
      </w:r>
      <w:r w:rsidRPr="009523C3">
        <w:rPr>
          <w:rFonts w:eastAsiaTheme="minorEastAsia"/>
          <w:bCs/>
          <w:lang w:eastAsia="zh-CN"/>
        </w:rPr>
        <w:t>related inner/outer/edge allocations are in light green/yellow/red in the top triangle</w:t>
      </w:r>
      <w:r>
        <w:rPr>
          <w:rFonts w:eastAsiaTheme="minorEastAsia"/>
          <w:bCs/>
          <w:lang w:eastAsia="zh-CN"/>
        </w:rPr>
        <w:t>.</w:t>
      </w:r>
    </w:p>
    <w:p w14:paraId="1CF96CE6" w14:textId="77777777" w:rsidR="00C34AD8" w:rsidRDefault="00C34AD8" w:rsidP="00C34AD8">
      <w:pPr>
        <w:pStyle w:val="ListParagraph"/>
        <w:widowControl w:val="0"/>
        <w:numPr>
          <w:ilvl w:val="1"/>
          <w:numId w:val="30"/>
        </w:numPr>
        <w:spacing w:after="0"/>
        <w:ind w:firstLineChars="0"/>
        <w:rPr>
          <w:rFonts w:eastAsiaTheme="minorEastAsia"/>
          <w:bCs/>
          <w:lang w:eastAsia="zh-CN"/>
        </w:rPr>
      </w:pPr>
      <w:r>
        <w:rPr>
          <w:rFonts w:eastAsiaTheme="minorEastAsia"/>
          <w:bCs/>
          <w:lang w:eastAsia="zh-CN"/>
        </w:rPr>
        <w:t>The UEs extended BW related inner/outer allocations are in dark green/orange in the bottom triangle.</w:t>
      </w:r>
    </w:p>
    <w:p w14:paraId="27D3811B" w14:textId="77777777" w:rsidR="00C34AD8" w:rsidRDefault="00C34AD8" w:rsidP="00C34AD8">
      <w:pPr>
        <w:pStyle w:val="ListParagraph"/>
        <w:widowControl w:val="0"/>
        <w:numPr>
          <w:ilvl w:val="0"/>
          <w:numId w:val="30"/>
        </w:numPr>
        <w:spacing w:after="0"/>
        <w:ind w:firstLineChars="0"/>
        <w:rPr>
          <w:rFonts w:eastAsiaTheme="minorEastAsia"/>
          <w:bCs/>
          <w:lang w:eastAsia="zh-CN"/>
        </w:rPr>
      </w:pPr>
      <w:r>
        <w:rPr>
          <w:rFonts w:eastAsiaTheme="minorEastAsia"/>
          <w:bCs/>
          <w:lang w:eastAsia="zh-CN"/>
        </w:rPr>
        <w:t>The required RB extension to be signalled to the UE by the BS is illustrated in the middle as follows:</w:t>
      </w:r>
    </w:p>
    <w:p w14:paraId="780CC292" w14:textId="77777777" w:rsidR="00C34AD8" w:rsidRDefault="00C34AD8" w:rsidP="00C34AD8">
      <w:pPr>
        <w:pStyle w:val="ListParagraph"/>
        <w:widowControl w:val="0"/>
        <w:numPr>
          <w:ilvl w:val="1"/>
          <w:numId w:val="30"/>
        </w:numPr>
        <w:spacing w:after="0"/>
        <w:ind w:firstLineChars="0"/>
        <w:rPr>
          <w:rFonts w:eastAsiaTheme="minorEastAsia"/>
          <w:bCs/>
          <w:lang w:eastAsia="zh-CN"/>
        </w:rPr>
      </w:pPr>
      <w:r>
        <w:rPr>
          <w:rFonts w:eastAsiaTheme="minorEastAsia"/>
          <w:bCs/>
          <w:lang w:eastAsia="zh-CN"/>
        </w:rPr>
        <w:t>RBextL_UE1 and RBextH_UE1 in blue for UE1.</w:t>
      </w:r>
    </w:p>
    <w:p w14:paraId="1C914C1C" w14:textId="77777777" w:rsidR="00C34AD8" w:rsidRDefault="00C34AD8" w:rsidP="00C34AD8">
      <w:pPr>
        <w:pStyle w:val="ListParagraph"/>
        <w:widowControl w:val="0"/>
        <w:numPr>
          <w:ilvl w:val="1"/>
          <w:numId w:val="30"/>
        </w:numPr>
        <w:spacing w:after="0"/>
        <w:ind w:firstLineChars="0"/>
        <w:rPr>
          <w:rFonts w:eastAsiaTheme="minorEastAsia"/>
          <w:bCs/>
          <w:lang w:eastAsia="zh-CN"/>
        </w:rPr>
      </w:pPr>
      <w:r>
        <w:rPr>
          <w:rFonts w:eastAsiaTheme="minorEastAsia"/>
          <w:bCs/>
          <w:lang w:eastAsia="zh-CN"/>
        </w:rPr>
        <w:t>RBextL_UE2 and RBextH_UE2 in brown for UE2.</w:t>
      </w:r>
    </w:p>
    <w:p w14:paraId="2E3020F1" w14:textId="77777777" w:rsidR="00C34AD8" w:rsidRPr="00C34AD8" w:rsidRDefault="00C34AD8" w:rsidP="00C34AD8">
      <w:pPr>
        <w:widowControl w:val="0"/>
        <w:spacing w:after="0"/>
        <w:rPr>
          <w:rFonts w:eastAsiaTheme="minorEastAsia"/>
          <w:bCs/>
          <w:lang w:eastAsia="zh-CN"/>
        </w:rPr>
      </w:pPr>
    </w:p>
    <w:p w14:paraId="0B814761" w14:textId="77777777" w:rsidR="0073023C" w:rsidRPr="00C35748" w:rsidRDefault="0073023C" w:rsidP="0073023C">
      <w:pPr>
        <w:widowControl w:val="0"/>
        <w:spacing w:after="0"/>
        <w:rPr>
          <w:rFonts w:eastAsiaTheme="minorEastAsia"/>
          <w:b/>
          <w:lang w:eastAsia="zh-CN"/>
        </w:rPr>
      </w:pPr>
      <w:r w:rsidRPr="00C35748">
        <w:rPr>
          <w:rFonts w:eastAsiaTheme="minorEastAsia"/>
          <w:b/>
          <w:lang w:eastAsia="zh-CN"/>
        </w:rPr>
        <w:t>Observation:</w:t>
      </w:r>
    </w:p>
    <w:p w14:paraId="799C1679" w14:textId="77777777" w:rsidR="0073023C" w:rsidRPr="00C35748" w:rsidRDefault="0073023C" w:rsidP="0073023C">
      <w:pPr>
        <w:pStyle w:val="ListParagraph"/>
        <w:widowControl w:val="0"/>
        <w:numPr>
          <w:ilvl w:val="0"/>
          <w:numId w:val="30"/>
        </w:numPr>
        <w:spacing w:after="0"/>
        <w:ind w:firstLineChars="0"/>
        <w:rPr>
          <w:rFonts w:eastAsiaTheme="minorEastAsia"/>
          <w:b/>
          <w:lang w:eastAsia="zh-CN"/>
        </w:rPr>
      </w:pPr>
      <w:r w:rsidRPr="00C35748">
        <w:rPr>
          <w:rFonts w:eastAsiaTheme="minorEastAsia"/>
          <w:b/>
          <w:lang w:eastAsia="zh-CN"/>
        </w:rPr>
        <w:t>UE1 can “turn” all its allocations to inner</w:t>
      </w:r>
      <w:r>
        <w:rPr>
          <w:rFonts w:eastAsiaTheme="minorEastAsia"/>
          <w:b/>
          <w:lang w:eastAsia="zh-CN"/>
        </w:rPr>
        <w:t>.</w:t>
      </w:r>
    </w:p>
    <w:p w14:paraId="74170FAC" w14:textId="77777777" w:rsidR="0073023C" w:rsidRPr="00C35748" w:rsidRDefault="0073023C" w:rsidP="0073023C">
      <w:pPr>
        <w:pStyle w:val="ListParagraph"/>
        <w:widowControl w:val="0"/>
        <w:numPr>
          <w:ilvl w:val="0"/>
          <w:numId w:val="30"/>
        </w:numPr>
        <w:spacing w:after="0"/>
        <w:ind w:firstLineChars="0"/>
        <w:rPr>
          <w:rFonts w:eastAsiaTheme="minorEastAsia"/>
          <w:b/>
          <w:lang w:eastAsia="zh-CN"/>
        </w:rPr>
      </w:pPr>
      <w:r w:rsidRPr="00C35748">
        <w:rPr>
          <w:rFonts w:eastAsiaTheme="minorEastAsia"/>
          <w:b/>
          <w:lang w:eastAsia="zh-CN"/>
        </w:rPr>
        <w:t xml:space="preserve">UE2 only has </w:t>
      </w:r>
      <w:r>
        <w:rPr>
          <w:rFonts w:eastAsiaTheme="minorEastAsia"/>
          <w:b/>
          <w:lang w:eastAsia="zh-CN"/>
        </w:rPr>
        <w:t>several</w:t>
      </w:r>
      <w:r w:rsidRPr="00C35748">
        <w:rPr>
          <w:rFonts w:eastAsiaTheme="minorEastAsia"/>
          <w:b/>
          <w:lang w:eastAsia="zh-CN"/>
        </w:rPr>
        <w:t xml:space="preserve"> outer allocations left</w:t>
      </w:r>
      <w:r>
        <w:rPr>
          <w:rFonts w:eastAsiaTheme="minorEastAsia"/>
          <w:b/>
          <w:lang w:eastAsia="zh-CN"/>
        </w:rPr>
        <w:t>.</w:t>
      </w:r>
    </w:p>
    <w:p w14:paraId="33C13318" w14:textId="77777777" w:rsidR="0073023C" w:rsidRPr="00C35748" w:rsidRDefault="0073023C" w:rsidP="0073023C">
      <w:pPr>
        <w:pStyle w:val="ListParagraph"/>
        <w:widowControl w:val="0"/>
        <w:numPr>
          <w:ilvl w:val="0"/>
          <w:numId w:val="30"/>
        </w:numPr>
        <w:spacing w:after="0"/>
        <w:ind w:firstLineChars="0"/>
        <w:rPr>
          <w:rFonts w:eastAsiaTheme="minorEastAsia"/>
          <w:b/>
          <w:lang w:eastAsia="zh-CN"/>
        </w:rPr>
      </w:pPr>
      <w:r>
        <w:rPr>
          <w:rFonts w:eastAsiaTheme="minorEastAsia"/>
          <w:b/>
          <w:lang w:eastAsia="zh-CN"/>
        </w:rPr>
        <w:t xml:space="preserve">Left and right </w:t>
      </w:r>
      <w:r w:rsidRPr="00C35748">
        <w:rPr>
          <w:rFonts w:eastAsiaTheme="minorEastAsia"/>
          <w:b/>
          <w:lang w:eastAsia="zh-CN"/>
        </w:rPr>
        <w:t>RB extension</w:t>
      </w:r>
      <w:r>
        <w:rPr>
          <w:rFonts w:eastAsiaTheme="minorEastAsia"/>
          <w:b/>
          <w:lang w:eastAsia="zh-CN"/>
        </w:rPr>
        <w:t>s</w:t>
      </w:r>
      <w:r w:rsidRPr="00C35748">
        <w:rPr>
          <w:rFonts w:eastAsiaTheme="minorEastAsia"/>
          <w:b/>
          <w:lang w:eastAsia="zh-CN"/>
        </w:rPr>
        <w:t xml:space="preserve"> </w:t>
      </w:r>
      <w:r>
        <w:rPr>
          <w:rFonts w:eastAsiaTheme="minorEastAsia"/>
          <w:b/>
          <w:lang w:eastAsia="zh-CN"/>
        </w:rPr>
        <w:t>beyond</w:t>
      </w:r>
      <w:r w:rsidRPr="00C35748">
        <w:rPr>
          <w:rFonts w:eastAsiaTheme="minorEastAsia"/>
          <w:b/>
          <w:lang w:eastAsia="zh-CN"/>
        </w:rPr>
        <w:t xml:space="preserve"> NRB_UE/2</w:t>
      </w:r>
      <w:r>
        <w:rPr>
          <w:rFonts w:eastAsiaTheme="minorEastAsia"/>
          <w:b/>
          <w:lang w:eastAsia="zh-CN"/>
        </w:rPr>
        <w:t>, are not useful as all outer and edge allocations are already “turned” to inner.</w:t>
      </w:r>
    </w:p>
    <w:p w14:paraId="15D1F211" w14:textId="2DCA154B" w:rsidR="0073023C" w:rsidRDefault="0073023C" w:rsidP="0073023C">
      <w:pPr>
        <w:pStyle w:val="ListParagraph"/>
        <w:widowControl w:val="0"/>
        <w:numPr>
          <w:ilvl w:val="0"/>
          <w:numId w:val="30"/>
        </w:numPr>
        <w:spacing w:after="0"/>
        <w:ind w:firstLineChars="0"/>
        <w:rPr>
          <w:rFonts w:eastAsiaTheme="minorEastAsia"/>
          <w:b/>
          <w:lang w:eastAsia="zh-CN"/>
        </w:rPr>
      </w:pPr>
      <w:r w:rsidRPr="00C35748">
        <w:rPr>
          <w:rFonts w:eastAsiaTheme="minorEastAsia"/>
          <w:b/>
          <w:lang w:eastAsia="zh-CN"/>
        </w:rPr>
        <w:lastRenderedPageBreak/>
        <w:t>UE</w:t>
      </w:r>
      <w:r>
        <w:rPr>
          <w:rFonts w:eastAsiaTheme="minorEastAsia"/>
          <w:b/>
          <w:lang w:eastAsia="zh-CN"/>
        </w:rPr>
        <w:t>s in different regions of the higher BS bandwidth</w:t>
      </w:r>
      <w:r w:rsidRPr="00C35748">
        <w:rPr>
          <w:rFonts w:eastAsiaTheme="minorEastAsia"/>
          <w:b/>
          <w:lang w:eastAsia="zh-CN"/>
        </w:rPr>
        <w:t xml:space="preserve"> </w:t>
      </w:r>
      <w:r w:rsidR="00556E3A">
        <w:rPr>
          <w:rFonts w:eastAsiaTheme="minorEastAsia"/>
          <w:b/>
          <w:lang w:eastAsia="zh-CN"/>
        </w:rPr>
        <w:t>will h</w:t>
      </w:r>
      <w:r w:rsidRPr="00C35748">
        <w:rPr>
          <w:rFonts w:eastAsiaTheme="minorEastAsia"/>
          <w:b/>
          <w:lang w:eastAsia="zh-CN"/>
        </w:rPr>
        <w:t>ave different left and righ</w:t>
      </w:r>
      <w:r>
        <w:rPr>
          <w:rFonts w:eastAsiaTheme="minorEastAsia"/>
          <w:b/>
          <w:lang w:eastAsia="zh-CN"/>
        </w:rPr>
        <w:t>t</w:t>
      </w:r>
      <w:r w:rsidRPr="00C35748">
        <w:rPr>
          <w:rFonts w:eastAsiaTheme="minorEastAsia"/>
          <w:b/>
          <w:lang w:eastAsia="zh-CN"/>
        </w:rPr>
        <w:t xml:space="preserve"> RB extensions</w:t>
      </w:r>
      <w:r>
        <w:rPr>
          <w:rFonts w:eastAsiaTheme="minorEastAsia"/>
          <w:b/>
          <w:lang w:eastAsia="zh-CN"/>
        </w:rPr>
        <w:t>.</w:t>
      </w:r>
    </w:p>
    <w:p w14:paraId="3240418E" w14:textId="2D2ECF9A" w:rsidR="0073023C" w:rsidRDefault="0073023C" w:rsidP="0073023C">
      <w:pPr>
        <w:pStyle w:val="ListParagraph"/>
        <w:widowControl w:val="0"/>
        <w:numPr>
          <w:ilvl w:val="0"/>
          <w:numId w:val="30"/>
        </w:numPr>
        <w:spacing w:after="0"/>
        <w:ind w:firstLineChars="0"/>
        <w:rPr>
          <w:rFonts w:eastAsiaTheme="minorEastAsia"/>
          <w:b/>
          <w:lang w:eastAsia="zh-CN"/>
        </w:rPr>
      </w:pPr>
      <w:r>
        <w:rPr>
          <w:rFonts w:eastAsiaTheme="minorEastAsia"/>
          <w:b/>
          <w:lang w:eastAsia="zh-CN"/>
        </w:rPr>
        <w:t xml:space="preserve">UEs placed </w:t>
      </w:r>
      <w:r w:rsidR="00556E3A">
        <w:rPr>
          <w:rFonts w:eastAsiaTheme="minorEastAsia"/>
          <w:b/>
          <w:lang w:eastAsia="zh-CN"/>
        </w:rPr>
        <w:t>towards</w:t>
      </w:r>
      <w:r>
        <w:rPr>
          <w:rFonts w:eastAsiaTheme="minorEastAsia"/>
          <w:b/>
          <w:lang w:eastAsia="zh-CN"/>
        </w:rPr>
        <w:t xml:space="preserve"> the BS bandwidth edge only ha</w:t>
      </w:r>
      <w:r w:rsidR="00556E3A">
        <w:rPr>
          <w:rFonts w:eastAsiaTheme="minorEastAsia"/>
          <w:b/>
          <w:lang w:eastAsia="zh-CN"/>
        </w:rPr>
        <w:t>s</w:t>
      </w:r>
      <w:r>
        <w:rPr>
          <w:rFonts w:eastAsiaTheme="minorEastAsia"/>
          <w:b/>
          <w:lang w:eastAsia="zh-CN"/>
        </w:rPr>
        <w:t xml:space="preserve"> an RB extension on one (opposite edge) side. This is the case for UEs that use one CC of a BS supporting intra-band contiguous CA.</w:t>
      </w:r>
    </w:p>
    <w:p w14:paraId="661FB415" w14:textId="3144D635" w:rsidR="0073023C" w:rsidRDefault="0073023C" w:rsidP="0073023C">
      <w:pPr>
        <w:pStyle w:val="ListParagraph"/>
        <w:widowControl w:val="0"/>
        <w:numPr>
          <w:ilvl w:val="0"/>
          <w:numId w:val="30"/>
        </w:numPr>
        <w:spacing w:after="0"/>
        <w:ind w:firstLineChars="0"/>
        <w:rPr>
          <w:rFonts w:eastAsiaTheme="minorEastAsia"/>
          <w:b/>
          <w:lang w:eastAsia="zh-CN"/>
        </w:rPr>
      </w:pPr>
      <w:r>
        <w:rPr>
          <w:rFonts w:eastAsiaTheme="minorEastAsia"/>
          <w:b/>
          <w:lang w:eastAsia="zh-CN"/>
        </w:rPr>
        <w:t xml:space="preserve">It is essential that RB or BW extension are not set to NRB/2 or CBW/2 only, as this is an exception that the UE would be positioned in the middle of the BS BW, and if this is the case, there would be </w:t>
      </w:r>
      <w:r w:rsidR="00556E3A">
        <w:rPr>
          <w:rFonts w:eastAsiaTheme="minorEastAsia"/>
          <w:b/>
          <w:lang w:eastAsia="zh-CN"/>
        </w:rPr>
        <w:t xml:space="preserve">other </w:t>
      </w:r>
      <w:r>
        <w:rPr>
          <w:rFonts w:eastAsiaTheme="minorEastAsia"/>
          <w:b/>
          <w:lang w:eastAsia="zh-CN"/>
        </w:rPr>
        <w:t>UEs on each side which would not be able to benefit from it.</w:t>
      </w:r>
    </w:p>
    <w:p w14:paraId="6D64279B" w14:textId="3787F504" w:rsidR="001F4DB2" w:rsidRDefault="001F4DB2" w:rsidP="001F4DB2">
      <w:pPr>
        <w:widowControl w:val="0"/>
        <w:spacing w:after="0"/>
        <w:rPr>
          <w:rFonts w:eastAsiaTheme="minorEastAsia"/>
          <w:bCs/>
          <w:lang w:eastAsia="zh-CN"/>
        </w:rPr>
      </w:pPr>
    </w:p>
    <w:p w14:paraId="425E251E" w14:textId="30C2B7E8" w:rsidR="00C35748" w:rsidRDefault="00C35748" w:rsidP="009523C3">
      <w:pPr>
        <w:widowControl w:val="0"/>
        <w:spacing w:after="0"/>
        <w:rPr>
          <w:rFonts w:eastAsiaTheme="minorEastAsia"/>
          <w:bCs/>
          <w:lang w:eastAsia="zh-CN"/>
        </w:rPr>
      </w:pPr>
    </w:p>
    <w:p w14:paraId="7C8036E6" w14:textId="46E8CDAD" w:rsidR="00590432" w:rsidRDefault="00C35748" w:rsidP="00671A16">
      <w:pPr>
        <w:pStyle w:val="Caption"/>
      </w:pPr>
      <w:r w:rsidRPr="00C35748">
        <w:rPr>
          <w:rFonts w:eastAsiaTheme="minorEastAsia"/>
          <w:noProof/>
        </w:rPr>
        <w:drawing>
          <wp:inline distT="0" distB="0" distL="0" distR="0" wp14:anchorId="369B0495" wp14:editId="303C4E74">
            <wp:extent cx="6646545" cy="6172835"/>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646545" cy="6172835"/>
                    </a:xfrm>
                    <a:prstGeom prst="rect">
                      <a:avLst/>
                    </a:prstGeom>
                    <a:noFill/>
                    <a:ln>
                      <a:noFill/>
                    </a:ln>
                  </pic:spPr>
                </pic:pic>
              </a:graphicData>
            </a:graphic>
          </wp:inline>
        </w:drawing>
      </w:r>
      <w:r w:rsidR="00590432">
        <w:t xml:space="preserve">Figure </w:t>
      </w:r>
      <w:r w:rsidR="00671A16">
        <w:t>3</w:t>
      </w:r>
      <w:r w:rsidR="00590432">
        <w:t>: Inner/outer allocations for two UEs within a larger BS BW before RB extension (top) and after (bottom)</w:t>
      </w:r>
    </w:p>
    <w:p w14:paraId="5EB31B54" w14:textId="5A074882" w:rsidR="004955CA" w:rsidRDefault="004955CA" w:rsidP="004955CA">
      <w:pPr>
        <w:widowControl w:val="0"/>
        <w:spacing w:after="0"/>
        <w:rPr>
          <w:rFonts w:eastAsiaTheme="minorEastAsia"/>
          <w:b/>
          <w:lang w:eastAsia="zh-CN"/>
        </w:rPr>
      </w:pPr>
    </w:p>
    <w:p w14:paraId="0DD81DFC" w14:textId="3FADB020" w:rsidR="00C34AD8" w:rsidRDefault="00C34AD8" w:rsidP="00C34AD8">
      <w:pPr>
        <w:widowControl w:val="0"/>
        <w:spacing w:after="0"/>
        <w:rPr>
          <w:rFonts w:eastAsiaTheme="minorEastAsia"/>
          <w:bCs/>
          <w:lang w:eastAsia="zh-CN"/>
        </w:rPr>
      </w:pPr>
      <w:r>
        <w:rPr>
          <w:rFonts w:eastAsiaTheme="minorEastAsia"/>
          <w:bCs/>
          <w:lang w:eastAsia="zh-CN"/>
        </w:rPr>
        <w:t xml:space="preserve">However, we understand that having flexibility from 1 to NRB/2 with 1RB granularity is an unnecessary complexity. Also, to gain 1RB on the largest inner you need to extend by 2RB </w:t>
      </w:r>
      <w:r w:rsidR="00556E3A">
        <w:rPr>
          <w:rFonts w:eastAsiaTheme="minorEastAsia"/>
          <w:bCs/>
          <w:lang w:eastAsia="zh-CN"/>
        </w:rPr>
        <w:t>while</w:t>
      </w:r>
      <w:r>
        <w:rPr>
          <w:rFonts w:eastAsiaTheme="minorEastAsia"/>
          <w:bCs/>
          <w:lang w:eastAsia="zh-CN"/>
        </w:rPr>
        <w:t xml:space="preserve"> the flexibility needed is proportional to the initial CBW. Thus, instead of our initial proposal where the extension would be in amount of RBs, beyond the 0 or </w:t>
      </w:r>
      <w:proofErr w:type="gramStart"/>
      <w:r>
        <w:rPr>
          <w:rFonts w:eastAsiaTheme="minorEastAsia"/>
          <w:bCs/>
          <w:lang w:eastAsia="zh-CN"/>
        </w:rPr>
        <w:t>ceil(</w:t>
      </w:r>
      <w:proofErr w:type="gramEnd"/>
      <w:r>
        <w:rPr>
          <w:rFonts w:eastAsiaTheme="minorEastAsia"/>
          <w:bCs/>
          <w:lang w:eastAsia="zh-CN"/>
        </w:rPr>
        <w:t xml:space="preserve">NRB/2) baseline left and right extensions, we propose to add </w:t>
      </w:r>
      <w:r w:rsidR="00556E3A">
        <w:rPr>
          <w:rFonts w:eastAsiaTheme="minorEastAsia"/>
          <w:bCs/>
          <w:lang w:eastAsia="zh-CN"/>
        </w:rPr>
        <w:t>six</w:t>
      </w:r>
      <w:r>
        <w:rPr>
          <w:rFonts w:eastAsiaTheme="minorEastAsia"/>
          <w:bCs/>
          <w:lang w:eastAsia="zh-CN"/>
        </w:rPr>
        <w:t xml:space="preserve"> other fractional NRB states ceil(</w:t>
      </w:r>
      <w:r w:rsidR="00621EF3">
        <w:rPr>
          <w:rFonts w:eastAsiaTheme="minorEastAsia"/>
          <w:bCs/>
          <w:lang w:eastAsia="zh-CN"/>
        </w:rPr>
        <w:t>N*</w:t>
      </w:r>
      <w:r>
        <w:rPr>
          <w:rFonts w:eastAsiaTheme="minorEastAsia"/>
          <w:bCs/>
          <w:lang w:eastAsia="zh-CN"/>
        </w:rPr>
        <w:t xml:space="preserve">NRB/K) </w:t>
      </w:r>
      <w:r w:rsidR="00621EF3">
        <w:rPr>
          <w:rFonts w:eastAsiaTheme="minorEastAsia"/>
          <w:bCs/>
          <w:lang w:eastAsia="zh-CN"/>
        </w:rPr>
        <w:t xml:space="preserve">that would then mean that 3 bits </w:t>
      </w:r>
      <w:r w:rsidR="00556E3A">
        <w:rPr>
          <w:rFonts w:eastAsiaTheme="minorEastAsia"/>
          <w:bCs/>
          <w:lang w:eastAsia="zh-CN"/>
        </w:rPr>
        <w:t>e</w:t>
      </w:r>
      <w:r w:rsidR="00621EF3">
        <w:rPr>
          <w:rFonts w:eastAsiaTheme="minorEastAsia"/>
          <w:bCs/>
          <w:lang w:eastAsia="zh-CN"/>
        </w:rPr>
        <w:t>xtension per side is sufficient.</w:t>
      </w:r>
    </w:p>
    <w:p w14:paraId="6F64B15A" w14:textId="04F4AB42" w:rsidR="00621EF3" w:rsidRDefault="00621EF3" w:rsidP="00C34AD8">
      <w:pPr>
        <w:widowControl w:val="0"/>
        <w:spacing w:after="0"/>
        <w:rPr>
          <w:rFonts w:eastAsiaTheme="minorEastAsia"/>
          <w:bCs/>
          <w:lang w:eastAsia="zh-CN"/>
        </w:rPr>
      </w:pPr>
    </w:p>
    <w:p w14:paraId="395AA345" w14:textId="7AA5008B" w:rsidR="00621EF3" w:rsidRDefault="00621EF3" w:rsidP="00C34AD8">
      <w:pPr>
        <w:widowControl w:val="0"/>
        <w:spacing w:after="0"/>
        <w:rPr>
          <w:rFonts w:eastAsiaTheme="minorEastAsia"/>
          <w:bCs/>
          <w:lang w:eastAsia="zh-CN"/>
        </w:rPr>
      </w:pPr>
      <w:r>
        <w:rPr>
          <w:rFonts w:eastAsiaTheme="minorEastAsia"/>
          <w:bCs/>
          <w:lang w:eastAsia="zh-CN"/>
        </w:rPr>
        <w:t xml:space="preserve">Table 2 provides such additional fractions on top of the NRB/2 cases of Table 1. Before the last </w:t>
      </w:r>
      <w:r w:rsidR="00556E3A">
        <w:rPr>
          <w:rFonts w:eastAsiaTheme="minorEastAsia"/>
          <w:bCs/>
          <w:lang w:eastAsia="zh-CN"/>
        </w:rPr>
        <w:t>six</w:t>
      </w:r>
      <w:r>
        <w:rPr>
          <w:rFonts w:eastAsiaTheme="minorEastAsia"/>
          <w:bCs/>
          <w:lang w:eastAsia="zh-CN"/>
        </w:rPr>
        <w:t xml:space="preserve"> columns under the </w:t>
      </w:r>
      <w:r w:rsidR="009E44F3">
        <w:rPr>
          <w:rFonts w:eastAsiaTheme="minorEastAsia"/>
          <w:bCs/>
          <w:lang w:eastAsia="zh-CN"/>
        </w:rPr>
        <w:t xml:space="preserve">NRB/ 3b header (standing for </w:t>
      </w:r>
      <w:proofErr w:type="gramStart"/>
      <w:r w:rsidR="009E44F3">
        <w:rPr>
          <w:rFonts w:eastAsiaTheme="minorEastAsia"/>
          <w:bCs/>
          <w:lang w:eastAsia="zh-CN"/>
        </w:rPr>
        <w:t>3 bit</w:t>
      </w:r>
      <w:proofErr w:type="gramEnd"/>
      <w:r w:rsidR="009E44F3">
        <w:rPr>
          <w:rFonts w:eastAsiaTheme="minorEastAsia"/>
          <w:bCs/>
          <w:lang w:eastAsia="zh-CN"/>
        </w:rPr>
        <w:t xml:space="preserve"> NRB fractions), the columns have the same definition as in Table 1. The </w:t>
      </w:r>
      <w:r w:rsidR="00556E3A">
        <w:rPr>
          <w:rFonts w:eastAsiaTheme="minorEastAsia"/>
          <w:bCs/>
          <w:lang w:eastAsia="zh-CN"/>
        </w:rPr>
        <w:t>six</w:t>
      </w:r>
      <w:r w:rsidR="009E44F3">
        <w:rPr>
          <w:rFonts w:eastAsiaTheme="minorEastAsia"/>
          <w:bCs/>
          <w:lang w:eastAsia="zh-CN"/>
        </w:rPr>
        <w:t xml:space="preserve"> additional columns </w:t>
      </w:r>
      <w:r w:rsidR="00556E3A">
        <w:rPr>
          <w:rFonts w:eastAsiaTheme="minorEastAsia"/>
          <w:bCs/>
          <w:lang w:eastAsia="zh-CN"/>
        </w:rPr>
        <w:t>provide</w:t>
      </w:r>
      <w:r w:rsidR="009E44F3">
        <w:rPr>
          <w:rFonts w:eastAsiaTheme="minorEastAsia"/>
          <w:bCs/>
          <w:lang w:eastAsia="zh-CN"/>
        </w:rPr>
        <w:t xml:space="preserve"> the RB extensions based on the NRB fractions in the second row based on ceil(N*NRB/14).</w:t>
      </w:r>
    </w:p>
    <w:p w14:paraId="184DE311" w14:textId="7F0CB54D" w:rsidR="0073023C" w:rsidRDefault="0073023C" w:rsidP="00C34AD8">
      <w:pPr>
        <w:widowControl w:val="0"/>
        <w:spacing w:after="0"/>
        <w:rPr>
          <w:rFonts w:eastAsiaTheme="minorEastAsia"/>
          <w:bCs/>
          <w:lang w:eastAsia="zh-CN"/>
        </w:rPr>
      </w:pPr>
    </w:p>
    <w:p w14:paraId="424ECEF7" w14:textId="19EC57F7" w:rsidR="0073023C" w:rsidRPr="00FD409D" w:rsidRDefault="0073023C" w:rsidP="0073023C">
      <w:pPr>
        <w:spacing w:after="0"/>
        <w:rPr>
          <w:rFonts w:eastAsia="Arial"/>
          <w:b/>
          <w:bCs/>
          <w:lang w:eastAsia="zh-CN"/>
        </w:rPr>
      </w:pPr>
      <w:r w:rsidRPr="00FD409D">
        <w:rPr>
          <w:rFonts w:eastAsia="Arial"/>
          <w:b/>
          <w:bCs/>
          <w:lang w:eastAsia="zh-CN"/>
        </w:rPr>
        <w:t xml:space="preserve">Proposal </w:t>
      </w:r>
      <w:r>
        <w:rPr>
          <w:rFonts w:eastAsia="Arial"/>
          <w:b/>
          <w:bCs/>
          <w:lang w:eastAsia="zh-CN"/>
        </w:rPr>
        <w:t xml:space="preserve">on </w:t>
      </w:r>
      <w:r w:rsidRPr="00FD409D">
        <w:rPr>
          <w:rFonts w:eastAsia="Arial"/>
          <w:b/>
          <w:bCs/>
          <w:lang w:eastAsia="zh-CN"/>
        </w:rPr>
        <w:t>associated guard band</w:t>
      </w:r>
      <w:r>
        <w:rPr>
          <w:rFonts w:eastAsia="Arial"/>
          <w:b/>
          <w:bCs/>
          <w:lang w:eastAsia="zh-CN"/>
        </w:rPr>
        <w:t xml:space="preserve"> for flexible</w:t>
      </w:r>
      <w:r w:rsidRPr="00FD409D">
        <w:rPr>
          <w:rFonts w:eastAsia="Arial"/>
          <w:b/>
          <w:bCs/>
          <w:lang w:eastAsia="zh-CN"/>
        </w:rPr>
        <w:t xml:space="preserve"> NRB</w:t>
      </w:r>
      <w:r w:rsidR="00556E3A">
        <w:rPr>
          <w:rFonts w:eastAsia="Arial"/>
          <w:b/>
          <w:bCs/>
          <w:lang w:eastAsia="zh-CN"/>
        </w:rPr>
        <w:t>-</w:t>
      </w:r>
      <w:r w:rsidRPr="00FD409D">
        <w:rPr>
          <w:rFonts w:eastAsia="Arial"/>
          <w:b/>
          <w:bCs/>
          <w:lang w:eastAsia="zh-CN"/>
        </w:rPr>
        <w:t>based extension</w:t>
      </w:r>
      <w:r>
        <w:rPr>
          <w:rFonts w:eastAsia="Arial"/>
          <w:b/>
          <w:bCs/>
          <w:lang w:eastAsia="zh-CN"/>
        </w:rPr>
        <w:t>.</w:t>
      </w:r>
      <w:r w:rsidRPr="00FD409D">
        <w:rPr>
          <w:rFonts w:eastAsia="Arial"/>
          <w:b/>
          <w:bCs/>
          <w:lang w:eastAsia="zh-CN"/>
        </w:rPr>
        <w:t xml:space="preserve"> </w:t>
      </w:r>
    </w:p>
    <w:p w14:paraId="6466A136" w14:textId="77777777" w:rsidR="0073023C" w:rsidRDefault="0073023C" w:rsidP="0073023C">
      <w:pPr>
        <w:pStyle w:val="ListParagraph"/>
        <w:numPr>
          <w:ilvl w:val="0"/>
          <w:numId w:val="42"/>
        </w:numPr>
        <w:spacing w:after="0"/>
        <w:ind w:firstLineChars="0"/>
        <w:rPr>
          <w:rFonts w:eastAsia="Arial"/>
          <w:b/>
          <w:bCs/>
          <w:i/>
          <w:iCs/>
          <w:lang w:eastAsia="zh-CN"/>
        </w:rPr>
      </w:pPr>
      <w:r>
        <w:rPr>
          <w:rFonts w:eastAsia="Arial"/>
          <w:b/>
          <w:bCs/>
          <w:lang w:eastAsia="zh-CN"/>
        </w:rPr>
        <w:lastRenderedPageBreak/>
        <w:t xml:space="preserve">Similarly to the </w:t>
      </w:r>
      <w:proofErr w:type="gramStart"/>
      <w:r>
        <w:rPr>
          <w:rFonts w:eastAsia="Arial"/>
          <w:b/>
          <w:bCs/>
          <w:lang w:eastAsia="zh-CN"/>
        </w:rPr>
        <w:t>ceil(</w:t>
      </w:r>
      <w:proofErr w:type="gramEnd"/>
      <w:r>
        <w:rPr>
          <w:rFonts w:eastAsia="Arial"/>
          <w:b/>
          <w:bCs/>
          <w:lang w:eastAsia="zh-CN"/>
        </w:rPr>
        <w:t>NRB/2) extension, the guard band mapping for the fractional NRB extension can inherit the guard band</w:t>
      </w:r>
      <w:r w:rsidRPr="005C23F0">
        <w:rPr>
          <w:rFonts w:eastAsia="Arial"/>
          <w:b/>
          <w:bCs/>
          <w:lang w:eastAsia="zh-CN"/>
        </w:rPr>
        <w:t xml:space="preserve"> from the next corresponding existing higher CBW that uses the next higher NRB versus </w:t>
      </w:r>
      <w:proofErr w:type="spellStart"/>
      <w:r w:rsidRPr="005C23F0">
        <w:rPr>
          <w:rFonts w:eastAsia="Arial"/>
          <w:b/>
          <w:bCs/>
          <w:lang w:eastAsia="zh-CN"/>
        </w:rPr>
        <w:t>NRBext</w:t>
      </w:r>
      <w:proofErr w:type="spellEnd"/>
      <w:r>
        <w:rPr>
          <w:rFonts w:eastAsia="Arial"/>
          <w:b/>
          <w:bCs/>
          <w:lang w:eastAsia="zh-CN"/>
        </w:rPr>
        <w:t xml:space="preserve"> where </w:t>
      </w:r>
      <w:proofErr w:type="spellStart"/>
      <w:r w:rsidRPr="00F87BDA">
        <w:rPr>
          <w:rFonts w:eastAsia="Arial"/>
          <w:b/>
          <w:bCs/>
          <w:i/>
          <w:iCs/>
          <w:lang w:eastAsia="zh-CN"/>
        </w:rPr>
        <w:t>NRBext</w:t>
      </w:r>
      <w:proofErr w:type="spellEnd"/>
      <w:r w:rsidRPr="00F87BDA">
        <w:rPr>
          <w:rFonts w:eastAsia="Arial"/>
          <w:b/>
          <w:bCs/>
          <w:i/>
          <w:iCs/>
          <w:lang w:eastAsia="zh-CN"/>
        </w:rPr>
        <w:t>=</w:t>
      </w:r>
      <w:proofErr w:type="spellStart"/>
      <w:r w:rsidRPr="00F87BDA">
        <w:rPr>
          <w:rFonts w:eastAsia="Arial"/>
          <w:b/>
          <w:bCs/>
          <w:i/>
          <w:iCs/>
          <w:lang w:eastAsia="zh-CN"/>
        </w:rPr>
        <w:t>NRB_UE+</w:t>
      </w:r>
      <w:r>
        <w:rPr>
          <w:rFonts w:eastAsia="Arial"/>
          <w:b/>
          <w:bCs/>
          <w:i/>
          <w:iCs/>
          <w:lang w:eastAsia="zh-CN"/>
        </w:rPr>
        <w:t>ceil</w:t>
      </w:r>
      <w:proofErr w:type="spellEnd"/>
      <w:r>
        <w:rPr>
          <w:rFonts w:eastAsia="Arial"/>
          <w:b/>
          <w:bCs/>
          <w:i/>
          <w:iCs/>
          <w:lang w:eastAsia="zh-CN"/>
        </w:rPr>
        <w:t>(KL*NRB/14)+ceil(KL*NRB_UE/14) with:</w:t>
      </w:r>
    </w:p>
    <w:p w14:paraId="50437965" w14:textId="77777777" w:rsidR="0073023C" w:rsidRDefault="0073023C" w:rsidP="0073023C">
      <w:pPr>
        <w:pStyle w:val="ListParagraph"/>
        <w:numPr>
          <w:ilvl w:val="1"/>
          <w:numId w:val="42"/>
        </w:numPr>
        <w:spacing w:after="0"/>
        <w:ind w:firstLineChars="0"/>
        <w:rPr>
          <w:rFonts w:eastAsia="Arial"/>
          <w:b/>
          <w:bCs/>
          <w:i/>
          <w:iCs/>
          <w:lang w:eastAsia="zh-CN"/>
        </w:rPr>
      </w:pPr>
      <w:r>
        <w:rPr>
          <w:rFonts w:eastAsia="Arial"/>
          <w:b/>
          <w:bCs/>
          <w:i/>
          <w:iCs/>
          <w:lang w:eastAsia="zh-CN"/>
        </w:rPr>
        <w:t xml:space="preserve">KL and KH being an integer from 0 to 7 coded on 3bit </w:t>
      </w:r>
      <w:proofErr w:type="gramStart"/>
      <w:r>
        <w:rPr>
          <w:rFonts w:eastAsia="Arial"/>
          <w:b/>
          <w:bCs/>
          <w:i/>
          <w:iCs/>
          <w:lang w:eastAsia="zh-CN"/>
        </w:rPr>
        <w:t>each</w:t>
      </w:r>
      <w:proofErr w:type="gramEnd"/>
    </w:p>
    <w:p w14:paraId="4794FD4B" w14:textId="77777777" w:rsidR="0073023C" w:rsidRDefault="0073023C" w:rsidP="0073023C">
      <w:pPr>
        <w:pStyle w:val="ListParagraph"/>
        <w:numPr>
          <w:ilvl w:val="1"/>
          <w:numId w:val="42"/>
        </w:numPr>
        <w:spacing w:after="0"/>
        <w:ind w:firstLineChars="0"/>
        <w:rPr>
          <w:rFonts w:eastAsia="Arial"/>
          <w:b/>
          <w:bCs/>
          <w:i/>
          <w:iCs/>
          <w:lang w:eastAsia="zh-CN"/>
        </w:rPr>
      </w:pPr>
      <w:r>
        <w:rPr>
          <w:rFonts w:eastAsia="Arial"/>
          <w:b/>
          <w:bCs/>
          <w:i/>
          <w:iCs/>
          <w:lang w:eastAsia="zh-CN"/>
        </w:rPr>
        <w:t>KL being the fractional NRB extension on the lower side of NRB_UE</w:t>
      </w:r>
    </w:p>
    <w:p w14:paraId="39C60BC6" w14:textId="77777777" w:rsidR="0073023C" w:rsidRDefault="0073023C" w:rsidP="0073023C">
      <w:pPr>
        <w:pStyle w:val="ListParagraph"/>
        <w:numPr>
          <w:ilvl w:val="1"/>
          <w:numId w:val="42"/>
        </w:numPr>
        <w:spacing w:after="0"/>
        <w:ind w:firstLineChars="0"/>
        <w:rPr>
          <w:rFonts w:eastAsia="Arial"/>
          <w:b/>
          <w:bCs/>
          <w:i/>
          <w:iCs/>
          <w:lang w:eastAsia="zh-CN"/>
        </w:rPr>
      </w:pPr>
      <w:r>
        <w:rPr>
          <w:rFonts w:eastAsia="Arial"/>
          <w:b/>
          <w:bCs/>
          <w:i/>
          <w:iCs/>
          <w:lang w:eastAsia="zh-CN"/>
        </w:rPr>
        <w:t>KH being the fractional NRB extension on the upper side of NRB_UE</w:t>
      </w:r>
    </w:p>
    <w:p w14:paraId="36B5748C" w14:textId="1C9CD793" w:rsidR="0073023C" w:rsidRDefault="0073023C" w:rsidP="0073023C">
      <w:pPr>
        <w:pStyle w:val="ListParagraph"/>
        <w:numPr>
          <w:ilvl w:val="0"/>
          <w:numId w:val="42"/>
        </w:numPr>
        <w:spacing w:after="0"/>
        <w:ind w:firstLineChars="0"/>
        <w:rPr>
          <w:rFonts w:eastAsia="Arial"/>
          <w:b/>
          <w:bCs/>
          <w:lang w:eastAsia="zh-CN"/>
        </w:rPr>
      </w:pPr>
      <w:r w:rsidRPr="0073023C">
        <w:rPr>
          <w:rFonts w:eastAsia="Arial"/>
          <w:b/>
          <w:bCs/>
          <w:lang w:eastAsia="zh-CN"/>
        </w:rPr>
        <w:t>This is the generalisation</w:t>
      </w:r>
      <w:r>
        <w:rPr>
          <w:rFonts w:eastAsia="Arial"/>
          <w:b/>
          <w:bCs/>
          <w:lang w:eastAsia="zh-CN"/>
        </w:rPr>
        <w:t xml:space="preserve"> of the proposal for the NRB/2 extension.</w:t>
      </w:r>
    </w:p>
    <w:p w14:paraId="4806E098" w14:textId="77777777" w:rsidR="0073023C" w:rsidRPr="0073023C" w:rsidRDefault="0073023C" w:rsidP="0073023C">
      <w:pPr>
        <w:spacing w:after="0"/>
        <w:rPr>
          <w:rFonts w:eastAsia="Arial"/>
          <w:b/>
          <w:bCs/>
          <w:lang w:eastAsia="zh-CN"/>
        </w:rPr>
      </w:pPr>
    </w:p>
    <w:p w14:paraId="4D21021F" w14:textId="065B38BB" w:rsidR="00621EF3" w:rsidRDefault="00621EF3" w:rsidP="00C34AD8">
      <w:pPr>
        <w:widowControl w:val="0"/>
        <w:spacing w:after="0"/>
        <w:rPr>
          <w:rFonts w:eastAsiaTheme="minorEastAsia"/>
          <w:bCs/>
          <w:lang w:eastAsia="zh-CN"/>
        </w:rPr>
      </w:pPr>
    </w:p>
    <w:p w14:paraId="462C609A" w14:textId="51739AE4" w:rsidR="00621EF3" w:rsidRDefault="00621EF3" w:rsidP="00621EF3">
      <w:pPr>
        <w:pStyle w:val="Caption"/>
        <w:keepNext/>
      </w:pPr>
      <w:r>
        <w:t xml:space="preserve">Table </w:t>
      </w:r>
      <w:r>
        <w:fldChar w:fldCharType="begin"/>
      </w:r>
      <w:r>
        <w:instrText xml:space="preserve"> SEQ Table \* ARABIC </w:instrText>
      </w:r>
      <w:r>
        <w:fldChar w:fldCharType="separate"/>
      </w:r>
      <w:r w:rsidR="009E44F3">
        <w:rPr>
          <w:noProof/>
        </w:rPr>
        <w:t>2</w:t>
      </w:r>
      <w:r>
        <w:fldChar w:fldCharType="end"/>
      </w:r>
      <w:r>
        <w:t>: Addition of flexible NRB extension based on fractions of NRB.</w:t>
      </w:r>
    </w:p>
    <w:tbl>
      <w:tblPr>
        <w:tblW w:w="7697" w:type="dxa"/>
        <w:jc w:val="center"/>
        <w:tblLook w:val="04A0" w:firstRow="1" w:lastRow="0" w:firstColumn="1" w:lastColumn="0" w:noHBand="0" w:noVBand="1"/>
      </w:tblPr>
      <w:tblGrid>
        <w:gridCol w:w="592"/>
        <w:gridCol w:w="490"/>
        <w:gridCol w:w="490"/>
        <w:gridCol w:w="536"/>
        <w:gridCol w:w="528"/>
        <w:gridCol w:w="689"/>
        <w:gridCol w:w="490"/>
        <w:gridCol w:w="522"/>
        <w:gridCol w:w="560"/>
        <w:gridCol w:w="560"/>
        <w:gridCol w:w="560"/>
        <w:gridCol w:w="560"/>
        <w:gridCol w:w="560"/>
        <w:gridCol w:w="560"/>
      </w:tblGrid>
      <w:tr w:rsidR="00621EF3" w:rsidRPr="00621EF3" w14:paraId="08B53E5A" w14:textId="77777777" w:rsidTr="00621EF3">
        <w:trPr>
          <w:trHeight w:val="240"/>
          <w:jc w:val="center"/>
        </w:trPr>
        <w:tc>
          <w:tcPr>
            <w:tcW w:w="5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937FE2"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SCS</w:t>
            </w:r>
            <w:r w:rsidRPr="00621EF3">
              <w:rPr>
                <w:rFonts w:ascii="Calibri" w:hAnsi="Calibri" w:cs="Calibri"/>
                <w:color w:val="000000"/>
                <w:sz w:val="18"/>
                <w:szCs w:val="18"/>
                <w:lang w:val="en-US" w:eastAsia="en-US"/>
              </w:rPr>
              <w:br/>
              <w:t>[kHz]</w:t>
            </w:r>
          </w:p>
        </w:tc>
        <w:tc>
          <w:tcPr>
            <w:tcW w:w="1516" w:type="dxa"/>
            <w:gridSpan w:val="3"/>
            <w:tcBorders>
              <w:top w:val="single" w:sz="4" w:space="0" w:color="auto"/>
              <w:left w:val="nil"/>
              <w:bottom w:val="single" w:sz="4" w:space="0" w:color="auto"/>
              <w:right w:val="single" w:sz="4" w:space="0" w:color="auto"/>
            </w:tcBorders>
            <w:shd w:val="clear" w:color="auto" w:fill="auto"/>
            <w:noWrap/>
            <w:vAlign w:val="center"/>
            <w:hideMark/>
          </w:tcPr>
          <w:p w14:paraId="449DE834"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CBW [MHz]</w:t>
            </w:r>
          </w:p>
        </w:tc>
        <w:tc>
          <w:tcPr>
            <w:tcW w:w="2229" w:type="dxa"/>
            <w:gridSpan w:val="4"/>
            <w:tcBorders>
              <w:top w:val="single" w:sz="4" w:space="0" w:color="auto"/>
              <w:left w:val="nil"/>
              <w:bottom w:val="single" w:sz="4" w:space="0" w:color="auto"/>
              <w:right w:val="single" w:sz="4" w:space="0" w:color="auto"/>
            </w:tcBorders>
            <w:shd w:val="clear" w:color="000000" w:fill="8EA9DB"/>
            <w:noWrap/>
            <w:vAlign w:val="center"/>
            <w:hideMark/>
          </w:tcPr>
          <w:p w14:paraId="78E1EA54"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NRB</w:t>
            </w:r>
          </w:p>
        </w:tc>
        <w:tc>
          <w:tcPr>
            <w:tcW w:w="3360" w:type="dxa"/>
            <w:gridSpan w:val="6"/>
            <w:tcBorders>
              <w:top w:val="single" w:sz="4" w:space="0" w:color="auto"/>
              <w:left w:val="nil"/>
              <w:bottom w:val="single" w:sz="4" w:space="0" w:color="auto"/>
              <w:right w:val="single" w:sz="4" w:space="0" w:color="000000"/>
            </w:tcBorders>
            <w:shd w:val="clear" w:color="000000" w:fill="D9D9D9"/>
            <w:noWrap/>
            <w:vAlign w:val="center"/>
            <w:hideMark/>
          </w:tcPr>
          <w:p w14:paraId="0DE797BF"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NRB/ 3b</w:t>
            </w:r>
          </w:p>
        </w:tc>
      </w:tr>
      <w:tr w:rsidR="00621EF3" w:rsidRPr="00621EF3" w14:paraId="1FFF7A71" w14:textId="77777777" w:rsidTr="00621EF3">
        <w:trPr>
          <w:trHeight w:val="240"/>
          <w:jc w:val="center"/>
        </w:trPr>
        <w:tc>
          <w:tcPr>
            <w:tcW w:w="592" w:type="dxa"/>
            <w:vMerge/>
            <w:tcBorders>
              <w:top w:val="single" w:sz="4" w:space="0" w:color="auto"/>
              <w:left w:val="single" w:sz="4" w:space="0" w:color="auto"/>
              <w:bottom w:val="single" w:sz="4" w:space="0" w:color="auto"/>
              <w:right w:val="single" w:sz="4" w:space="0" w:color="auto"/>
            </w:tcBorders>
            <w:vAlign w:val="center"/>
            <w:hideMark/>
          </w:tcPr>
          <w:p w14:paraId="2C25AC82" w14:textId="77777777" w:rsidR="00621EF3" w:rsidRPr="00621EF3" w:rsidRDefault="00621EF3" w:rsidP="00621EF3">
            <w:pPr>
              <w:overflowPunct/>
              <w:autoSpaceDE/>
              <w:autoSpaceDN/>
              <w:adjustRightInd/>
              <w:spacing w:after="0"/>
              <w:textAlignment w:val="auto"/>
              <w:rPr>
                <w:rFonts w:ascii="Calibri" w:hAnsi="Calibri" w:cs="Calibri"/>
                <w:color w:val="000000"/>
                <w:sz w:val="18"/>
                <w:szCs w:val="18"/>
                <w:lang w:val="en-US" w:eastAsia="en-US"/>
              </w:rPr>
            </w:pPr>
          </w:p>
        </w:tc>
        <w:tc>
          <w:tcPr>
            <w:tcW w:w="490" w:type="dxa"/>
            <w:tcBorders>
              <w:top w:val="nil"/>
              <w:left w:val="nil"/>
              <w:bottom w:val="single" w:sz="4" w:space="0" w:color="auto"/>
              <w:right w:val="single" w:sz="4" w:space="0" w:color="auto"/>
            </w:tcBorders>
            <w:shd w:val="clear" w:color="auto" w:fill="auto"/>
            <w:noWrap/>
            <w:vAlign w:val="center"/>
            <w:hideMark/>
          </w:tcPr>
          <w:p w14:paraId="3C57B857" w14:textId="77777777" w:rsidR="00621EF3" w:rsidRPr="00621EF3" w:rsidRDefault="00621EF3" w:rsidP="00621EF3">
            <w:pPr>
              <w:overflowPunct/>
              <w:autoSpaceDE/>
              <w:autoSpaceDN/>
              <w:adjustRightInd/>
              <w:spacing w:after="0"/>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1x</w:t>
            </w:r>
          </w:p>
        </w:tc>
        <w:tc>
          <w:tcPr>
            <w:tcW w:w="490" w:type="dxa"/>
            <w:tcBorders>
              <w:top w:val="nil"/>
              <w:left w:val="nil"/>
              <w:bottom w:val="single" w:sz="4" w:space="0" w:color="auto"/>
              <w:right w:val="single" w:sz="4" w:space="0" w:color="auto"/>
            </w:tcBorders>
            <w:shd w:val="clear" w:color="auto" w:fill="auto"/>
            <w:noWrap/>
            <w:vAlign w:val="center"/>
            <w:hideMark/>
          </w:tcPr>
          <w:p w14:paraId="0C47B587" w14:textId="77777777" w:rsidR="00621EF3" w:rsidRPr="00621EF3" w:rsidRDefault="00621EF3" w:rsidP="00621EF3">
            <w:pPr>
              <w:overflowPunct/>
              <w:autoSpaceDE/>
              <w:autoSpaceDN/>
              <w:adjustRightInd/>
              <w:spacing w:after="0"/>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2x</w:t>
            </w:r>
          </w:p>
        </w:tc>
        <w:tc>
          <w:tcPr>
            <w:tcW w:w="536" w:type="dxa"/>
            <w:tcBorders>
              <w:top w:val="nil"/>
              <w:left w:val="nil"/>
              <w:bottom w:val="single" w:sz="4" w:space="0" w:color="auto"/>
              <w:right w:val="single" w:sz="4" w:space="0" w:color="auto"/>
            </w:tcBorders>
            <w:shd w:val="clear" w:color="auto" w:fill="auto"/>
            <w:noWrap/>
            <w:vAlign w:val="center"/>
            <w:hideMark/>
          </w:tcPr>
          <w:p w14:paraId="360BC04E" w14:textId="77777777" w:rsidR="00621EF3" w:rsidRPr="00621EF3" w:rsidRDefault="00621EF3" w:rsidP="00621EF3">
            <w:pPr>
              <w:overflowPunct/>
              <w:autoSpaceDE/>
              <w:autoSpaceDN/>
              <w:adjustRightInd/>
              <w:spacing w:after="0"/>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1.5x</w:t>
            </w:r>
          </w:p>
        </w:tc>
        <w:tc>
          <w:tcPr>
            <w:tcW w:w="528" w:type="dxa"/>
            <w:tcBorders>
              <w:top w:val="nil"/>
              <w:left w:val="nil"/>
              <w:bottom w:val="single" w:sz="4" w:space="0" w:color="auto"/>
              <w:right w:val="single" w:sz="4" w:space="0" w:color="auto"/>
            </w:tcBorders>
            <w:shd w:val="clear" w:color="000000" w:fill="B4C6E7"/>
            <w:noWrap/>
            <w:vAlign w:val="center"/>
            <w:hideMark/>
          </w:tcPr>
          <w:p w14:paraId="7BDD3604"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NRB</w:t>
            </w:r>
          </w:p>
        </w:tc>
        <w:tc>
          <w:tcPr>
            <w:tcW w:w="689" w:type="dxa"/>
            <w:tcBorders>
              <w:top w:val="nil"/>
              <w:left w:val="nil"/>
              <w:bottom w:val="single" w:sz="4" w:space="0" w:color="auto"/>
              <w:right w:val="single" w:sz="4" w:space="0" w:color="auto"/>
            </w:tcBorders>
            <w:shd w:val="clear" w:color="000000" w:fill="DDEBF7"/>
            <w:noWrap/>
            <w:vAlign w:val="center"/>
            <w:hideMark/>
          </w:tcPr>
          <w:p w14:paraId="706E34CE"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NRB/2</w:t>
            </w:r>
          </w:p>
        </w:tc>
        <w:tc>
          <w:tcPr>
            <w:tcW w:w="490" w:type="dxa"/>
            <w:tcBorders>
              <w:top w:val="nil"/>
              <w:left w:val="nil"/>
              <w:bottom w:val="single" w:sz="4" w:space="0" w:color="auto"/>
              <w:right w:val="single" w:sz="4" w:space="0" w:color="auto"/>
            </w:tcBorders>
            <w:shd w:val="clear" w:color="auto" w:fill="auto"/>
            <w:noWrap/>
            <w:vAlign w:val="center"/>
            <w:hideMark/>
          </w:tcPr>
          <w:p w14:paraId="4EECBEB1"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2x</w:t>
            </w:r>
          </w:p>
        </w:tc>
        <w:tc>
          <w:tcPr>
            <w:tcW w:w="522" w:type="dxa"/>
            <w:tcBorders>
              <w:top w:val="nil"/>
              <w:left w:val="nil"/>
              <w:bottom w:val="single" w:sz="4" w:space="0" w:color="auto"/>
              <w:right w:val="single" w:sz="4" w:space="0" w:color="auto"/>
            </w:tcBorders>
            <w:shd w:val="clear" w:color="auto" w:fill="auto"/>
            <w:noWrap/>
            <w:vAlign w:val="center"/>
            <w:hideMark/>
          </w:tcPr>
          <w:p w14:paraId="6B5C6FE1"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1.5x</w:t>
            </w:r>
          </w:p>
        </w:tc>
        <w:tc>
          <w:tcPr>
            <w:tcW w:w="560" w:type="dxa"/>
            <w:tcBorders>
              <w:top w:val="nil"/>
              <w:left w:val="nil"/>
              <w:bottom w:val="single" w:sz="4" w:space="0" w:color="auto"/>
              <w:right w:val="single" w:sz="4" w:space="0" w:color="auto"/>
            </w:tcBorders>
            <w:shd w:val="clear" w:color="000000" w:fill="D9D9D9"/>
            <w:vAlign w:val="center"/>
            <w:hideMark/>
          </w:tcPr>
          <w:p w14:paraId="543CF3F0"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6/14</w:t>
            </w:r>
          </w:p>
        </w:tc>
        <w:tc>
          <w:tcPr>
            <w:tcW w:w="560" w:type="dxa"/>
            <w:tcBorders>
              <w:top w:val="nil"/>
              <w:left w:val="nil"/>
              <w:bottom w:val="single" w:sz="4" w:space="0" w:color="auto"/>
              <w:right w:val="single" w:sz="4" w:space="0" w:color="auto"/>
            </w:tcBorders>
            <w:shd w:val="clear" w:color="000000" w:fill="D9D9D9"/>
            <w:vAlign w:val="center"/>
            <w:hideMark/>
          </w:tcPr>
          <w:p w14:paraId="416718ED"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5/14</w:t>
            </w:r>
          </w:p>
        </w:tc>
        <w:tc>
          <w:tcPr>
            <w:tcW w:w="560" w:type="dxa"/>
            <w:tcBorders>
              <w:top w:val="nil"/>
              <w:left w:val="nil"/>
              <w:bottom w:val="single" w:sz="4" w:space="0" w:color="auto"/>
              <w:right w:val="single" w:sz="4" w:space="0" w:color="auto"/>
            </w:tcBorders>
            <w:shd w:val="clear" w:color="000000" w:fill="D9D9D9"/>
            <w:vAlign w:val="center"/>
            <w:hideMark/>
          </w:tcPr>
          <w:p w14:paraId="2B3414AA"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4/14</w:t>
            </w:r>
          </w:p>
        </w:tc>
        <w:tc>
          <w:tcPr>
            <w:tcW w:w="560" w:type="dxa"/>
            <w:tcBorders>
              <w:top w:val="nil"/>
              <w:left w:val="nil"/>
              <w:bottom w:val="single" w:sz="4" w:space="0" w:color="auto"/>
              <w:right w:val="single" w:sz="4" w:space="0" w:color="auto"/>
            </w:tcBorders>
            <w:shd w:val="clear" w:color="000000" w:fill="D9D9D9"/>
            <w:vAlign w:val="center"/>
            <w:hideMark/>
          </w:tcPr>
          <w:p w14:paraId="08098C10"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3/14</w:t>
            </w:r>
          </w:p>
        </w:tc>
        <w:tc>
          <w:tcPr>
            <w:tcW w:w="560" w:type="dxa"/>
            <w:tcBorders>
              <w:top w:val="nil"/>
              <w:left w:val="nil"/>
              <w:bottom w:val="single" w:sz="4" w:space="0" w:color="auto"/>
              <w:right w:val="single" w:sz="4" w:space="0" w:color="auto"/>
            </w:tcBorders>
            <w:shd w:val="clear" w:color="000000" w:fill="D9D9D9"/>
            <w:vAlign w:val="center"/>
            <w:hideMark/>
          </w:tcPr>
          <w:p w14:paraId="714EEE2B"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2/14</w:t>
            </w:r>
          </w:p>
        </w:tc>
        <w:tc>
          <w:tcPr>
            <w:tcW w:w="560" w:type="dxa"/>
            <w:tcBorders>
              <w:top w:val="nil"/>
              <w:left w:val="nil"/>
              <w:bottom w:val="single" w:sz="4" w:space="0" w:color="auto"/>
              <w:right w:val="single" w:sz="4" w:space="0" w:color="auto"/>
            </w:tcBorders>
            <w:shd w:val="clear" w:color="000000" w:fill="D9D9D9"/>
            <w:vAlign w:val="center"/>
            <w:hideMark/>
          </w:tcPr>
          <w:p w14:paraId="7C13D5D6"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1/14</w:t>
            </w:r>
          </w:p>
        </w:tc>
      </w:tr>
      <w:tr w:rsidR="00621EF3" w:rsidRPr="00621EF3" w14:paraId="3456B79D" w14:textId="77777777" w:rsidTr="00621EF3">
        <w:trPr>
          <w:trHeight w:val="240"/>
          <w:jc w:val="center"/>
        </w:trPr>
        <w:tc>
          <w:tcPr>
            <w:tcW w:w="592" w:type="dxa"/>
            <w:vMerge w:val="restart"/>
            <w:tcBorders>
              <w:top w:val="nil"/>
              <w:left w:val="single" w:sz="4" w:space="0" w:color="auto"/>
              <w:bottom w:val="single" w:sz="4" w:space="0" w:color="auto"/>
              <w:right w:val="single" w:sz="4" w:space="0" w:color="auto"/>
            </w:tcBorders>
            <w:shd w:val="clear" w:color="auto" w:fill="auto"/>
            <w:vAlign w:val="center"/>
            <w:hideMark/>
          </w:tcPr>
          <w:p w14:paraId="2708F2BB"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15</w:t>
            </w:r>
          </w:p>
        </w:tc>
        <w:tc>
          <w:tcPr>
            <w:tcW w:w="490" w:type="dxa"/>
            <w:tcBorders>
              <w:top w:val="nil"/>
              <w:left w:val="nil"/>
              <w:bottom w:val="single" w:sz="4" w:space="0" w:color="auto"/>
              <w:right w:val="single" w:sz="4" w:space="0" w:color="auto"/>
            </w:tcBorders>
            <w:shd w:val="clear" w:color="auto" w:fill="auto"/>
            <w:noWrap/>
            <w:vAlign w:val="center"/>
            <w:hideMark/>
          </w:tcPr>
          <w:p w14:paraId="1D54B3D2"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3</w:t>
            </w:r>
          </w:p>
        </w:tc>
        <w:tc>
          <w:tcPr>
            <w:tcW w:w="490" w:type="dxa"/>
            <w:tcBorders>
              <w:top w:val="nil"/>
              <w:left w:val="nil"/>
              <w:bottom w:val="single" w:sz="4" w:space="0" w:color="auto"/>
              <w:right w:val="single" w:sz="4" w:space="0" w:color="auto"/>
            </w:tcBorders>
            <w:shd w:val="clear" w:color="000000" w:fill="548235"/>
            <w:noWrap/>
            <w:vAlign w:val="center"/>
            <w:hideMark/>
          </w:tcPr>
          <w:p w14:paraId="5583487E"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6</w:t>
            </w:r>
          </w:p>
        </w:tc>
        <w:tc>
          <w:tcPr>
            <w:tcW w:w="536" w:type="dxa"/>
            <w:tcBorders>
              <w:top w:val="nil"/>
              <w:left w:val="nil"/>
              <w:bottom w:val="single" w:sz="4" w:space="0" w:color="auto"/>
              <w:right w:val="single" w:sz="4" w:space="0" w:color="auto"/>
            </w:tcBorders>
            <w:shd w:val="clear" w:color="000000" w:fill="375623"/>
            <w:noWrap/>
            <w:vAlign w:val="center"/>
            <w:hideMark/>
          </w:tcPr>
          <w:p w14:paraId="2880F55F" w14:textId="77777777" w:rsidR="00621EF3" w:rsidRPr="00621EF3" w:rsidRDefault="00621EF3" w:rsidP="00621EF3">
            <w:pPr>
              <w:overflowPunct/>
              <w:autoSpaceDE/>
              <w:autoSpaceDN/>
              <w:adjustRightInd/>
              <w:spacing w:after="0"/>
              <w:jc w:val="center"/>
              <w:textAlignment w:val="auto"/>
              <w:rPr>
                <w:rFonts w:ascii="Calibri" w:hAnsi="Calibri" w:cs="Calibri"/>
                <w:b/>
                <w:bCs/>
                <w:color w:val="000000"/>
                <w:sz w:val="18"/>
                <w:szCs w:val="18"/>
                <w:lang w:val="en-US" w:eastAsia="en-US"/>
              </w:rPr>
            </w:pPr>
            <w:r w:rsidRPr="00621EF3">
              <w:rPr>
                <w:rFonts w:ascii="Calibri" w:hAnsi="Calibri" w:cs="Calibri"/>
                <w:b/>
                <w:bCs/>
                <w:color w:val="000000"/>
                <w:sz w:val="18"/>
                <w:szCs w:val="18"/>
                <w:lang w:val="en-US" w:eastAsia="en-US"/>
              </w:rPr>
              <w:t>4.5</w:t>
            </w:r>
          </w:p>
        </w:tc>
        <w:tc>
          <w:tcPr>
            <w:tcW w:w="528" w:type="dxa"/>
            <w:tcBorders>
              <w:top w:val="nil"/>
              <w:left w:val="nil"/>
              <w:bottom w:val="single" w:sz="4" w:space="0" w:color="auto"/>
              <w:right w:val="single" w:sz="4" w:space="0" w:color="auto"/>
            </w:tcBorders>
            <w:shd w:val="clear" w:color="000000" w:fill="B4C6E7"/>
            <w:vAlign w:val="center"/>
            <w:hideMark/>
          </w:tcPr>
          <w:p w14:paraId="7652110E"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15</w:t>
            </w:r>
          </w:p>
        </w:tc>
        <w:tc>
          <w:tcPr>
            <w:tcW w:w="689" w:type="dxa"/>
            <w:tcBorders>
              <w:top w:val="nil"/>
              <w:left w:val="nil"/>
              <w:bottom w:val="single" w:sz="4" w:space="0" w:color="auto"/>
              <w:right w:val="single" w:sz="4" w:space="0" w:color="auto"/>
            </w:tcBorders>
            <w:shd w:val="clear" w:color="000000" w:fill="DDEBF7"/>
            <w:vAlign w:val="center"/>
            <w:hideMark/>
          </w:tcPr>
          <w:p w14:paraId="4565343B"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8</w:t>
            </w:r>
          </w:p>
        </w:tc>
        <w:tc>
          <w:tcPr>
            <w:tcW w:w="490" w:type="dxa"/>
            <w:tcBorders>
              <w:top w:val="nil"/>
              <w:left w:val="nil"/>
              <w:bottom w:val="single" w:sz="4" w:space="0" w:color="auto"/>
              <w:right w:val="single" w:sz="4" w:space="0" w:color="auto"/>
            </w:tcBorders>
            <w:shd w:val="clear" w:color="000000" w:fill="00B050"/>
            <w:vAlign w:val="center"/>
            <w:hideMark/>
          </w:tcPr>
          <w:p w14:paraId="569195DF"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31</w:t>
            </w:r>
          </w:p>
        </w:tc>
        <w:tc>
          <w:tcPr>
            <w:tcW w:w="522" w:type="dxa"/>
            <w:tcBorders>
              <w:top w:val="nil"/>
              <w:left w:val="nil"/>
              <w:bottom w:val="single" w:sz="4" w:space="0" w:color="auto"/>
              <w:right w:val="single" w:sz="4" w:space="0" w:color="auto"/>
            </w:tcBorders>
            <w:shd w:val="clear" w:color="000000" w:fill="00B050"/>
            <w:vAlign w:val="center"/>
            <w:hideMark/>
          </w:tcPr>
          <w:p w14:paraId="2A2F6F12"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23</w:t>
            </w:r>
          </w:p>
        </w:tc>
        <w:tc>
          <w:tcPr>
            <w:tcW w:w="560" w:type="dxa"/>
            <w:tcBorders>
              <w:top w:val="nil"/>
              <w:left w:val="nil"/>
              <w:bottom w:val="single" w:sz="4" w:space="0" w:color="auto"/>
              <w:right w:val="single" w:sz="4" w:space="0" w:color="auto"/>
            </w:tcBorders>
            <w:shd w:val="clear" w:color="000000" w:fill="D9D9D9"/>
            <w:vAlign w:val="center"/>
            <w:hideMark/>
          </w:tcPr>
          <w:p w14:paraId="78C4BDF5"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7</w:t>
            </w:r>
          </w:p>
        </w:tc>
        <w:tc>
          <w:tcPr>
            <w:tcW w:w="560" w:type="dxa"/>
            <w:tcBorders>
              <w:top w:val="nil"/>
              <w:left w:val="nil"/>
              <w:bottom w:val="single" w:sz="4" w:space="0" w:color="auto"/>
              <w:right w:val="single" w:sz="4" w:space="0" w:color="auto"/>
            </w:tcBorders>
            <w:shd w:val="clear" w:color="000000" w:fill="D9D9D9"/>
            <w:vAlign w:val="center"/>
            <w:hideMark/>
          </w:tcPr>
          <w:p w14:paraId="2EB85797"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6</w:t>
            </w:r>
          </w:p>
        </w:tc>
        <w:tc>
          <w:tcPr>
            <w:tcW w:w="560" w:type="dxa"/>
            <w:tcBorders>
              <w:top w:val="nil"/>
              <w:left w:val="nil"/>
              <w:bottom w:val="single" w:sz="4" w:space="0" w:color="auto"/>
              <w:right w:val="single" w:sz="4" w:space="0" w:color="auto"/>
            </w:tcBorders>
            <w:shd w:val="clear" w:color="000000" w:fill="D9D9D9"/>
            <w:vAlign w:val="center"/>
            <w:hideMark/>
          </w:tcPr>
          <w:p w14:paraId="710511CC"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5</w:t>
            </w:r>
          </w:p>
        </w:tc>
        <w:tc>
          <w:tcPr>
            <w:tcW w:w="560" w:type="dxa"/>
            <w:tcBorders>
              <w:top w:val="nil"/>
              <w:left w:val="nil"/>
              <w:bottom w:val="single" w:sz="4" w:space="0" w:color="auto"/>
              <w:right w:val="single" w:sz="4" w:space="0" w:color="auto"/>
            </w:tcBorders>
            <w:shd w:val="clear" w:color="000000" w:fill="D9D9D9"/>
            <w:vAlign w:val="center"/>
            <w:hideMark/>
          </w:tcPr>
          <w:p w14:paraId="6A88A60F"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4</w:t>
            </w:r>
          </w:p>
        </w:tc>
        <w:tc>
          <w:tcPr>
            <w:tcW w:w="560" w:type="dxa"/>
            <w:tcBorders>
              <w:top w:val="nil"/>
              <w:left w:val="nil"/>
              <w:bottom w:val="single" w:sz="4" w:space="0" w:color="auto"/>
              <w:right w:val="single" w:sz="4" w:space="0" w:color="auto"/>
            </w:tcBorders>
            <w:shd w:val="clear" w:color="000000" w:fill="D9D9D9"/>
            <w:vAlign w:val="center"/>
            <w:hideMark/>
          </w:tcPr>
          <w:p w14:paraId="17577D78"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3</w:t>
            </w:r>
          </w:p>
        </w:tc>
        <w:tc>
          <w:tcPr>
            <w:tcW w:w="560" w:type="dxa"/>
            <w:tcBorders>
              <w:top w:val="nil"/>
              <w:left w:val="nil"/>
              <w:bottom w:val="single" w:sz="4" w:space="0" w:color="auto"/>
              <w:right w:val="single" w:sz="4" w:space="0" w:color="auto"/>
            </w:tcBorders>
            <w:shd w:val="clear" w:color="000000" w:fill="D9D9D9"/>
            <w:vAlign w:val="center"/>
            <w:hideMark/>
          </w:tcPr>
          <w:p w14:paraId="12752D47"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2</w:t>
            </w:r>
          </w:p>
        </w:tc>
      </w:tr>
      <w:tr w:rsidR="00621EF3" w:rsidRPr="00621EF3" w14:paraId="16EAC75A" w14:textId="77777777" w:rsidTr="00621EF3">
        <w:trPr>
          <w:trHeight w:val="240"/>
          <w:jc w:val="center"/>
        </w:trPr>
        <w:tc>
          <w:tcPr>
            <w:tcW w:w="592" w:type="dxa"/>
            <w:vMerge/>
            <w:tcBorders>
              <w:top w:val="nil"/>
              <w:left w:val="single" w:sz="4" w:space="0" w:color="auto"/>
              <w:bottom w:val="single" w:sz="4" w:space="0" w:color="auto"/>
              <w:right w:val="single" w:sz="4" w:space="0" w:color="auto"/>
            </w:tcBorders>
            <w:vAlign w:val="center"/>
            <w:hideMark/>
          </w:tcPr>
          <w:p w14:paraId="7DCECC10" w14:textId="77777777" w:rsidR="00621EF3" w:rsidRPr="00621EF3" w:rsidRDefault="00621EF3" w:rsidP="00621EF3">
            <w:pPr>
              <w:overflowPunct/>
              <w:autoSpaceDE/>
              <w:autoSpaceDN/>
              <w:adjustRightInd/>
              <w:spacing w:after="0"/>
              <w:textAlignment w:val="auto"/>
              <w:rPr>
                <w:rFonts w:ascii="Calibri" w:hAnsi="Calibri" w:cs="Calibri"/>
                <w:color w:val="000000"/>
                <w:sz w:val="18"/>
                <w:szCs w:val="18"/>
                <w:lang w:val="en-US" w:eastAsia="en-US"/>
              </w:rPr>
            </w:pPr>
          </w:p>
        </w:tc>
        <w:tc>
          <w:tcPr>
            <w:tcW w:w="490" w:type="dxa"/>
            <w:tcBorders>
              <w:top w:val="nil"/>
              <w:left w:val="nil"/>
              <w:bottom w:val="single" w:sz="4" w:space="0" w:color="auto"/>
              <w:right w:val="single" w:sz="4" w:space="0" w:color="auto"/>
            </w:tcBorders>
            <w:shd w:val="clear" w:color="000000" w:fill="375623"/>
            <w:noWrap/>
            <w:vAlign w:val="center"/>
            <w:hideMark/>
          </w:tcPr>
          <w:p w14:paraId="01776D57" w14:textId="77777777" w:rsidR="00621EF3" w:rsidRPr="00621EF3" w:rsidRDefault="00621EF3" w:rsidP="00621EF3">
            <w:pPr>
              <w:overflowPunct/>
              <w:autoSpaceDE/>
              <w:autoSpaceDN/>
              <w:adjustRightInd/>
              <w:spacing w:after="0"/>
              <w:jc w:val="center"/>
              <w:textAlignment w:val="auto"/>
              <w:rPr>
                <w:rFonts w:ascii="Calibri" w:hAnsi="Calibri" w:cs="Calibri"/>
                <w:b/>
                <w:bCs/>
                <w:color w:val="000000"/>
                <w:sz w:val="18"/>
                <w:szCs w:val="18"/>
                <w:lang w:val="en-US" w:eastAsia="en-US"/>
              </w:rPr>
            </w:pPr>
            <w:r w:rsidRPr="00621EF3">
              <w:rPr>
                <w:rFonts w:ascii="Calibri" w:hAnsi="Calibri" w:cs="Calibri"/>
                <w:b/>
                <w:bCs/>
                <w:color w:val="000000"/>
                <w:sz w:val="18"/>
                <w:szCs w:val="18"/>
                <w:lang w:val="en-US" w:eastAsia="en-US"/>
              </w:rPr>
              <w:t>5</w:t>
            </w:r>
          </w:p>
        </w:tc>
        <w:tc>
          <w:tcPr>
            <w:tcW w:w="490" w:type="dxa"/>
            <w:tcBorders>
              <w:top w:val="nil"/>
              <w:left w:val="nil"/>
              <w:bottom w:val="single" w:sz="4" w:space="0" w:color="auto"/>
              <w:right w:val="single" w:sz="4" w:space="0" w:color="auto"/>
            </w:tcBorders>
            <w:shd w:val="clear" w:color="000000" w:fill="70AD47"/>
            <w:noWrap/>
            <w:vAlign w:val="center"/>
            <w:hideMark/>
          </w:tcPr>
          <w:p w14:paraId="5DAA48E4" w14:textId="77777777" w:rsidR="00621EF3" w:rsidRPr="00621EF3" w:rsidRDefault="00621EF3" w:rsidP="00621EF3">
            <w:pPr>
              <w:overflowPunct/>
              <w:autoSpaceDE/>
              <w:autoSpaceDN/>
              <w:adjustRightInd/>
              <w:spacing w:after="0"/>
              <w:jc w:val="center"/>
              <w:textAlignment w:val="auto"/>
              <w:rPr>
                <w:rFonts w:ascii="Calibri" w:hAnsi="Calibri" w:cs="Calibri"/>
                <w:b/>
                <w:bCs/>
                <w:color w:val="000000"/>
                <w:sz w:val="18"/>
                <w:szCs w:val="18"/>
                <w:lang w:val="en-US" w:eastAsia="en-US"/>
              </w:rPr>
            </w:pPr>
            <w:r w:rsidRPr="00621EF3">
              <w:rPr>
                <w:rFonts w:ascii="Calibri" w:hAnsi="Calibri" w:cs="Calibri"/>
                <w:b/>
                <w:bCs/>
                <w:color w:val="000000"/>
                <w:sz w:val="18"/>
                <w:szCs w:val="18"/>
                <w:lang w:val="en-US" w:eastAsia="en-US"/>
              </w:rPr>
              <w:t>10</w:t>
            </w:r>
          </w:p>
        </w:tc>
        <w:tc>
          <w:tcPr>
            <w:tcW w:w="536" w:type="dxa"/>
            <w:tcBorders>
              <w:top w:val="nil"/>
              <w:left w:val="nil"/>
              <w:bottom w:val="single" w:sz="4" w:space="0" w:color="auto"/>
              <w:right w:val="single" w:sz="4" w:space="0" w:color="auto"/>
            </w:tcBorders>
            <w:shd w:val="clear" w:color="000000" w:fill="70AD47"/>
            <w:noWrap/>
            <w:vAlign w:val="center"/>
            <w:hideMark/>
          </w:tcPr>
          <w:p w14:paraId="68BB4C10" w14:textId="77777777" w:rsidR="00621EF3" w:rsidRPr="00621EF3" w:rsidRDefault="00621EF3" w:rsidP="00621EF3">
            <w:pPr>
              <w:overflowPunct/>
              <w:autoSpaceDE/>
              <w:autoSpaceDN/>
              <w:adjustRightInd/>
              <w:spacing w:after="0"/>
              <w:jc w:val="center"/>
              <w:textAlignment w:val="auto"/>
              <w:rPr>
                <w:rFonts w:ascii="Calibri" w:hAnsi="Calibri" w:cs="Calibri"/>
                <w:b/>
                <w:bCs/>
                <w:color w:val="000000"/>
                <w:sz w:val="18"/>
                <w:szCs w:val="18"/>
                <w:lang w:val="en-US" w:eastAsia="en-US"/>
              </w:rPr>
            </w:pPr>
            <w:r w:rsidRPr="00621EF3">
              <w:rPr>
                <w:rFonts w:ascii="Calibri" w:hAnsi="Calibri" w:cs="Calibri"/>
                <w:b/>
                <w:bCs/>
                <w:color w:val="000000"/>
                <w:sz w:val="18"/>
                <w:szCs w:val="18"/>
                <w:lang w:val="en-US" w:eastAsia="en-US"/>
              </w:rPr>
              <w:t>7.5</w:t>
            </w:r>
          </w:p>
        </w:tc>
        <w:tc>
          <w:tcPr>
            <w:tcW w:w="528" w:type="dxa"/>
            <w:tcBorders>
              <w:top w:val="nil"/>
              <w:left w:val="nil"/>
              <w:bottom w:val="single" w:sz="4" w:space="0" w:color="auto"/>
              <w:right w:val="single" w:sz="4" w:space="0" w:color="auto"/>
            </w:tcBorders>
            <w:shd w:val="clear" w:color="000000" w:fill="B4C6E7"/>
            <w:vAlign w:val="center"/>
            <w:hideMark/>
          </w:tcPr>
          <w:p w14:paraId="7461E311" w14:textId="77777777" w:rsidR="00621EF3" w:rsidRPr="00621EF3" w:rsidRDefault="00621EF3" w:rsidP="00621EF3">
            <w:pPr>
              <w:overflowPunct/>
              <w:autoSpaceDE/>
              <w:autoSpaceDN/>
              <w:adjustRightInd/>
              <w:spacing w:after="0"/>
              <w:jc w:val="center"/>
              <w:textAlignment w:val="auto"/>
              <w:rPr>
                <w:rFonts w:ascii="Calibri" w:hAnsi="Calibri" w:cs="Calibri"/>
                <w:b/>
                <w:bCs/>
                <w:color w:val="000000"/>
                <w:sz w:val="18"/>
                <w:szCs w:val="18"/>
                <w:lang w:val="en-US" w:eastAsia="en-US"/>
              </w:rPr>
            </w:pPr>
            <w:r w:rsidRPr="00621EF3">
              <w:rPr>
                <w:rFonts w:ascii="Calibri" w:hAnsi="Calibri" w:cs="Calibri"/>
                <w:b/>
                <w:bCs/>
                <w:color w:val="000000"/>
                <w:sz w:val="18"/>
                <w:szCs w:val="18"/>
                <w:lang w:val="en-US" w:eastAsia="en-US"/>
              </w:rPr>
              <w:t>25</w:t>
            </w:r>
          </w:p>
        </w:tc>
        <w:tc>
          <w:tcPr>
            <w:tcW w:w="689" w:type="dxa"/>
            <w:tcBorders>
              <w:top w:val="nil"/>
              <w:left w:val="nil"/>
              <w:bottom w:val="single" w:sz="4" w:space="0" w:color="auto"/>
              <w:right w:val="single" w:sz="4" w:space="0" w:color="auto"/>
            </w:tcBorders>
            <w:shd w:val="clear" w:color="000000" w:fill="DDEBF7"/>
            <w:vAlign w:val="center"/>
            <w:hideMark/>
          </w:tcPr>
          <w:p w14:paraId="6A50FA89" w14:textId="77777777" w:rsidR="00621EF3" w:rsidRPr="00621EF3" w:rsidRDefault="00621EF3" w:rsidP="00621EF3">
            <w:pPr>
              <w:overflowPunct/>
              <w:autoSpaceDE/>
              <w:autoSpaceDN/>
              <w:adjustRightInd/>
              <w:spacing w:after="0"/>
              <w:jc w:val="center"/>
              <w:textAlignment w:val="auto"/>
              <w:rPr>
                <w:rFonts w:ascii="Calibri" w:hAnsi="Calibri" w:cs="Calibri"/>
                <w:b/>
                <w:bCs/>
                <w:color w:val="000000"/>
                <w:sz w:val="18"/>
                <w:szCs w:val="18"/>
                <w:lang w:val="en-US" w:eastAsia="en-US"/>
              </w:rPr>
            </w:pPr>
            <w:r w:rsidRPr="00621EF3">
              <w:rPr>
                <w:rFonts w:ascii="Calibri" w:hAnsi="Calibri" w:cs="Calibri"/>
                <w:b/>
                <w:bCs/>
                <w:color w:val="000000"/>
                <w:sz w:val="18"/>
                <w:szCs w:val="18"/>
                <w:lang w:val="en-US" w:eastAsia="en-US"/>
              </w:rPr>
              <w:t>13</w:t>
            </w:r>
          </w:p>
        </w:tc>
        <w:tc>
          <w:tcPr>
            <w:tcW w:w="490" w:type="dxa"/>
            <w:tcBorders>
              <w:top w:val="nil"/>
              <w:left w:val="nil"/>
              <w:bottom w:val="single" w:sz="4" w:space="0" w:color="auto"/>
              <w:right w:val="single" w:sz="4" w:space="0" w:color="auto"/>
            </w:tcBorders>
            <w:shd w:val="clear" w:color="000000" w:fill="92D050"/>
            <w:vAlign w:val="center"/>
            <w:hideMark/>
          </w:tcPr>
          <w:p w14:paraId="3FA8413F" w14:textId="77777777" w:rsidR="00621EF3" w:rsidRPr="00621EF3" w:rsidRDefault="00621EF3" w:rsidP="00621EF3">
            <w:pPr>
              <w:overflowPunct/>
              <w:autoSpaceDE/>
              <w:autoSpaceDN/>
              <w:adjustRightInd/>
              <w:spacing w:after="0"/>
              <w:jc w:val="center"/>
              <w:textAlignment w:val="auto"/>
              <w:rPr>
                <w:rFonts w:ascii="Calibri" w:hAnsi="Calibri" w:cs="Calibri"/>
                <w:b/>
                <w:bCs/>
                <w:color w:val="000000"/>
                <w:sz w:val="18"/>
                <w:szCs w:val="18"/>
                <w:lang w:val="en-US" w:eastAsia="en-US"/>
              </w:rPr>
            </w:pPr>
            <w:r w:rsidRPr="00621EF3">
              <w:rPr>
                <w:rFonts w:ascii="Calibri" w:hAnsi="Calibri" w:cs="Calibri"/>
                <w:b/>
                <w:bCs/>
                <w:color w:val="000000"/>
                <w:sz w:val="18"/>
                <w:szCs w:val="18"/>
                <w:lang w:val="en-US" w:eastAsia="en-US"/>
              </w:rPr>
              <w:t>51</w:t>
            </w:r>
          </w:p>
        </w:tc>
        <w:tc>
          <w:tcPr>
            <w:tcW w:w="522" w:type="dxa"/>
            <w:tcBorders>
              <w:top w:val="nil"/>
              <w:left w:val="nil"/>
              <w:bottom w:val="single" w:sz="4" w:space="0" w:color="auto"/>
              <w:right w:val="single" w:sz="4" w:space="0" w:color="auto"/>
            </w:tcBorders>
            <w:shd w:val="clear" w:color="000000" w:fill="00B050"/>
            <w:vAlign w:val="center"/>
            <w:hideMark/>
          </w:tcPr>
          <w:p w14:paraId="34DBE1CF" w14:textId="77777777" w:rsidR="00621EF3" w:rsidRPr="00621EF3" w:rsidRDefault="00621EF3" w:rsidP="00621EF3">
            <w:pPr>
              <w:overflowPunct/>
              <w:autoSpaceDE/>
              <w:autoSpaceDN/>
              <w:adjustRightInd/>
              <w:spacing w:after="0"/>
              <w:jc w:val="center"/>
              <w:textAlignment w:val="auto"/>
              <w:rPr>
                <w:rFonts w:ascii="Calibri" w:hAnsi="Calibri" w:cs="Calibri"/>
                <w:b/>
                <w:bCs/>
                <w:color w:val="000000"/>
                <w:sz w:val="18"/>
                <w:szCs w:val="18"/>
                <w:lang w:val="en-US" w:eastAsia="en-US"/>
              </w:rPr>
            </w:pPr>
            <w:r w:rsidRPr="00621EF3">
              <w:rPr>
                <w:rFonts w:ascii="Calibri" w:hAnsi="Calibri" w:cs="Calibri"/>
                <w:b/>
                <w:bCs/>
                <w:color w:val="000000"/>
                <w:sz w:val="18"/>
                <w:szCs w:val="18"/>
                <w:lang w:val="en-US" w:eastAsia="en-US"/>
              </w:rPr>
              <w:t>38</w:t>
            </w:r>
          </w:p>
        </w:tc>
        <w:tc>
          <w:tcPr>
            <w:tcW w:w="560" w:type="dxa"/>
            <w:tcBorders>
              <w:top w:val="nil"/>
              <w:left w:val="nil"/>
              <w:bottom w:val="single" w:sz="4" w:space="0" w:color="auto"/>
              <w:right w:val="single" w:sz="4" w:space="0" w:color="auto"/>
            </w:tcBorders>
            <w:shd w:val="clear" w:color="000000" w:fill="D9D9D9"/>
            <w:vAlign w:val="center"/>
            <w:hideMark/>
          </w:tcPr>
          <w:p w14:paraId="72728675" w14:textId="77777777" w:rsidR="00621EF3" w:rsidRPr="00621EF3" w:rsidRDefault="00621EF3" w:rsidP="00621EF3">
            <w:pPr>
              <w:overflowPunct/>
              <w:autoSpaceDE/>
              <w:autoSpaceDN/>
              <w:adjustRightInd/>
              <w:spacing w:after="0"/>
              <w:jc w:val="center"/>
              <w:textAlignment w:val="auto"/>
              <w:rPr>
                <w:rFonts w:ascii="Calibri" w:hAnsi="Calibri" w:cs="Calibri"/>
                <w:b/>
                <w:bCs/>
                <w:color w:val="000000"/>
                <w:sz w:val="18"/>
                <w:szCs w:val="18"/>
                <w:lang w:val="en-US" w:eastAsia="en-US"/>
              </w:rPr>
            </w:pPr>
            <w:r w:rsidRPr="00621EF3">
              <w:rPr>
                <w:rFonts w:ascii="Calibri" w:hAnsi="Calibri" w:cs="Calibri"/>
                <w:b/>
                <w:bCs/>
                <w:color w:val="000000"/>
                <w:sz w:val="18"/>
                <w:szCs w:val="18"/>
                <w:lang w:val="en-US" w:eastAsia="en-US"/>
              </w:rPr>
              <w:t>11</w:t>
            </w:r>
          </w:p>
        </w:tc>
        <w:tc>
          <w:tcPr>
            <w:tcW w:w="560" w:type="dxa"/>
            <w:tcBorders>
              <w:top w:val="nil"/>
              <w:left w:val="nil"/>
              <w:bottom w:val="single" w:sz="4" w:space="0" w:color="auto"/>
              <w:right w:val="single" w:sz="4" w:space="0" w:color="auto"/>
            </w:tcBorders>
            <w:shd w:val="clear" w:color="000000" w:fill="D9D9D9"/>
            <w:vAlign w:val="center"/>
            <w:hideMark/>
          </w:tcPr>
          <w:p w14:paraId="2E9D228D" w14:textId="77777777" w:rsidR="00621EF3" w:rsidRPr="00621EF3" w:rsidRDefault="00621EF3" w:rsidP="00621EF3">
            <w:pPr>
              <w:overflowPunct/>
              <w:autoSpaceDE/>
              <w:autoSpaceDN/>
              <w:adjustRightInd/>
              <w:spacing w:after="0"/>
              <w:jc w:val="center"/>
              <w:textAlignment w:val="auto"/>
              <w:rPr>
                <w:rFonts w:ascii="Calibri" w:hAnsi="Calibri" w:cs="Calibri"/>
                <w:b/>
                <w:bCs/>
                <w:color w:val="000000"/>
                <w:sz w:val="18"/>
                <w:szCs w:val="18"/>
                <w:lang w:val="en-US" w:eastAsia="en-US"/>
              </w:rPr>
            </w:pPr>
            <w:r w:rsidRPr="00621EF3">
              <w:rPr>
                <w:rFonts w:ascii="Calibri" w:hAnsi="Calibri" w:cs="Calibri"/>
                <w:b/>
                <w:bCs/>
                <w:color w:val="000000"/>
                <w:sz w:val="18"/>
                <w:szCs w:val="18"/>
                <w:lang w:val="en-US" w:eastAsia="en-US"/>
              </w:rPr>
              <w:t>9</w:t>
            </w:r>
          </w:p>
        </w:tc>
        <w:tc>
          <w:tcPr>
            <w:tcW w:w="560" w:type="dxa"/>
            <w:tcBorders>
              <w:top w:val="nil"/>
              <w:left w:val="nil"/>
              <w:bottom w:val="single" w:sz="4" w:space="0" w:color="auto"/>
              <w:right w:val="single" w:sz="4" w:space="0" w:color="auto"/>
            </w:tcBorders>
            <w:shd w:val="clear" w:color="000000" w:fill="D9D9D9"/>
            <w:vAlign w:val="center"/>
            <w:hideMark/>
          </w:tcPr>
          <w:p w14:paraId="5D43525D" w14:textId="77777777" w:rsidR="00621EF3" w:rsidRPr="00621EF3" w:rsidRDefault="00621EF3" w:rsidP="00621EF3">
            <w:pPr>
              <w:overflowPunct/>
              <w:autoSpaceDE/>
              <w:autoSpaceDN/>
              <w:adjustRightInd/>
              <w:spacing w:after="0"/>
              <w:jc w:val="center"/>
              <w:textAlignment w:val="auto"/>
              <w:rPr>
                <w:rFonts w:ascii="Calibri" w:hAnsi="Calibri" w:cs="Calibri"/>
                <w:b/>
                <w:bCs/>
                <w:color w:val="000000"/>
                <w:sz w:val="18"/>
                <w:szCs w:val="18"/>
                <w:lang w:val="en-US" w:eastAsia="en-US"/>
              </w:rPr>
            </w:pPr>
            <w:r w:rsidRPr="00621EF3">
              <w:rPr>
                <w:rFonts w:ascii="Calibri" w:hAnsi="Calibri" w:cs="Calibri"/>
                <w:b/>
                <w:bCs/>
                <w:color w:val="000000"/>
                <w:sz w:val="18"/>
                <w:szCs w:val="18"/>
                <w:lang w:val="en-US" w:eastAsia="en-US"/>
              </w:rPr>
              <w:t>8</w:t>
            </w:r>
          </w:p>
        </w:tc>
        <w:tc>
          <w:tcPr>
            <w:tcW w:w="560" w:type="dxa"/>
            <w:tcBorders>
              <w:top w:val="nil"/>
              <w:left w:val="nil"/>
              <w:bottom w:val="single" w:sz="4" w:space="0" w:color="auto"/>
              <w:right w:val="single" w:sz="4" w:space="0" w:color="auto"/>
            </w:tcBorders>
            <w:shd w:val="clear" w:color="000000" w:fill="D9D9D9"/>
            <w:vAlign w:val="center"/>
            <w:hideMark/>
          </w:tcPr>
          <w:p w14:paraId="7ABB9D23" w14:textId="77777777" w:rsidR="00621EF3" w:rsidRPr="00621EF3" w:rsidRDefault="00621EF3" w:rsidP="00621EF3">
            <w:pPr>
              <w:overflowPunct/>
              <w:autoSpaceDE/>
              <w:autoSpaceDN/>
              <w:adjustRightInd/>
              <w:spacing w:after="0"/>
              <w:jc w:val="center"/>
              <w:textAlignment w:val="auto"/>
              <w:rPr>
                <w:rFonts w:ascii="Calibri" w:hAnsi="Calibri" w:cs="Calibri"/>
                <w:b/>
                <w:bCs/>
                <w:color w:val="000000"/>
                <w:sz w:val="18"/>
                <w:szCs w:val="18"/>
                <w:lang w:val="en-US" w:eastAsia="en-US"/>
              </w:rPr>
            </w:pPr>
            <w:r w:rsidRPr="00621EF3">
              <w:rPr>
                <w:rFonts w:ascii="Calibri" w:hAnsi="Calibri" w:cs="Calibri"/>
                <w:b/>
                <w:bCs/>
                <w:color w:val="000000"/>
                <w:sz w:val="18"/>
                <w:szCs w:val="18"/>
                <w:lang w:val="en-US" w:eastAsia="en-US"/>
              </w:rPr>
              <w:t>6</w:t>
            </w:r>
          </w:p>
        </w:tc>
        <w:tc>
          <w:tcPr>
            <w:tcW w:w="560" w:type="dxa"/>
            <w:tcBorders>
              <w:top w:val="nil"/>
              <w:left w:val="nil"/>
              <w:bottom w:val="single" w:sz="4" w:space="0" w:color="auto"/>
              <w:right w:val="single" w:sz="4" w:space="0" w:color="auto"/>
            </w:tcBorders>
            <w:shd w:val="clear" w:color="000000" w:fill="D9D9D9"/>
            <w:vAlign w:val="center"/>
            <w:hideMark/>
          </w:tcPr>
          <w:p w14:paraId="0A884260" w14:textId="77777777" w:rsidR="00621EF3" w:rsidRPr="00621EF3" w:rsidRDefault="00621EF3" w:rsidP="00621EF3">
            <w:pPr>
              <w:overflowPunct/>
              <w:autoSpaceDE/>
              <w:autoSpaceDN/>
              <w:adjustRightInd/>
              <w:spacing w:after="0"/>
              <w:jc w:val="center"/>
              <w:textAlignment w:val="auto"/>
              <w:rPr>
                <w:rFonts w:ascii="Calibri" w:hAnsi="Calibri" w:cs="Calibri"/>
                <w:b/>
                <w:bCs/>
                <w:color w:val="000000"/>
                <w:sz w:val="18"/>
                <w:szCs w:val="18"/>
                <w:lang w:val="en-US" w:eastAsia="en-US"/>
              </w:rPr>
            </w:pPr>
            <w:r w:rsidRPr="00621EF3">
              <w:rPr>
                <w:rFonts w:ascii="Calibri" w:hAnsi="Calibri" w:cs="Calibri"/>
                <w:b/>
                <w:bCs/>
                <w:color w:val="000000"/>
                <w:sz w:val="18"/>
                <w:szCs w:val="18"/>
                <w:lang w:val="en-US" w:eastAsia="en-US"/>
              </w:rPr>
              <w:t>4</w:t>
            </w:r>
          </w:p>
        </w:tc>
        <w:tc>
          <w:tcPr>
            <w:tcW w:w="560" w:type="dxa"/>
            <w:tcBorders>
              <w:top w:val="nil"/>
              <w:left w:val="nil"/>
              <w:bottom w:val="single" w:sz="4" w:space="0" w:color="auto"/>
              <w:right w:val="single" w:sz="4" w:space="0" w:color="auto"/>
            </w:tcBorders>
            <w:shd w:val="clear" w:color="000000" w:fill="D9D9D9"/>
            <w:vAlign w:val="center"/>
            <w:hideMark/>
          </w:tcPr>
          <w:p w14:paraId="28671DB1" w14:textId="77777777" w:rsidR="00621EF3" w:rsidRPr="00621EF3" w:rsidRDefault="00621EF3" w:rsidP="00621EF3">
            <w:pPr>
              <w:overflowPunct/>
              <w:autoSpaceDE/>
              <w:autoSpaceDN/>
              <w:adjustRightInd/>
              <w:spacing w:after="0"/>
              <w:jc w:val="center"/>
              <w:textAlignment w:val="auto"/>
              <w:rPr>
                <w:rFonts w:ascii="Calibri" w:hAnsi="Calibri" w:cs="Calibri"/>
                <w:b/>
                <w:bCs/>
                <w:color w:val="000000"/>
                <w:sz w:val="18"/>
                <w:szCs w:val="18"/>
                <w:lang w:val="en-US" w:eastAsia="en-US"/>
              </w:rPr>
            </w:pPr>
            <w:r w:rsidRPr="00621EF3">
              <w:rPr>
                <w:rFonts w:ascii="Calibri" w:hAnsi="Calibri" w:cs="Calibri"/>
                <w:b/>
                <w:bCs/>
                <w:color w:val="000000"/>
                <w:sz w:val="18"/>
                <w:szCs w:val="18"/>
                <w:lang w:val="en-US" w:eastAsia="en-US"/>
              </w:rPr>
              <w:t>2</w:t>
            </w:r>
          </w:p>
        </w:tc>
      </w:tr>
      <w:tr w:rsidR="00621EF3" w:rsidRPr="00621EF3" w14:paraId="1A5ABE7D" w14:textId="77777777" w:rsidTr="00621EF3">
        <w:trPr>
          <w:trHeight w:val="240"/>
          <w:jc w:val="center"/>
        </w:trPr>
        <w:tc>
          <w:tcPr>
            <w:tcW w:w="592" w:type="dxa"/>
            <w:vMerge/>
            <w:tcBorders>
              <w:top w:val="nil"/>
              <w:left w:val="single" w:sz="4" w:space="0" w:color="auto"/>
              <w:bottom w:val="single" w:sz="4" w:space="0" w:color="auto"/>
              <w:right w:val="single" w:sz="4" w:space="0" w:color="auto"/>
            </w:tcBorders>
            <w:vAlign w:val="center"/>
            <w:hideMark/>
          </w:tcPr>
          <w:p w14:paraId="47EE7613" w14:textId="77777777" w:rsidR="00621EF3" w:rsidRPr="00621EF3" w:rsidRDefault="00621EF3" w:rsidP="00621EF3">
            <w:pPr>
              <w:overflowPunct/>
              <w:autoSpaceDE/>
              <w:autoSpaceDN/>
              <w:adjustRightInd/>
              <w:spacing w:after="0"/>
              <w:textAlignment w:val="auto"/>
              <w:rPr>
                <w:rFonts w:ascii="Calibri" w:hAnsi="Calibri" w:cs="Calibri"/>
                <w:color w:val="000000"/>
                <w:sz w:val="18"/>
                <w:szCs w:val="18"/>
                <w:lang w:val="en-US" w:eastAsia="en-US"/>
              </w:rPr>
            </w:pPr>
          </w:p>
        </w:tc>
        <w:tc>
          <w:tcPr>
            <w:tcW w:w="490" w:type="dxa"/>
            <w:tcBorders>
              <w:top w:val="nil"/>
              <w:left w:val="nil"/>
              <w:bottom w:val="single" w:sz="4" w:space="0" w:color="auto"/>
              <w:right w:val="single" w:sz="4" w:space="0" w:color="auto"/>
            </w:tcBorders>
            <w:shd w:val="clear" w:color="000000" w:fill="548235"/>
            <w:noWrap/>
            <w:vAlign w:val="center"/>
            <w:hideMark/>
          </w:tcPr>
          <w:p w14:paraId="2234A174"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7</w:t>
            </w:r>
          </w:p>
        </w:tc>
        <w:tc>
          <w:tcPr>
            <w:tcW w:w="490" w:type="dxa"/>
            <w:tcBorders>
              <w:top w:val="nil"/>
              <w:left w:val="nil"/>
              <w:bottom w:val="single" w:sz="4" w:space="0" w:color="auto"/>
              <w:right w:val="single" w:sz="4" w:space="0" w:color="auto"/>
            </w:tcBorders>
            <w:shd w:val="clear" w:color="000000" w:fill="A9D08E"/>
            <w:noWrap/>
            <w:vAlign w:val="center"/>
            <w:hideMark/>
          </w:tcPr>
          <w:p w14:paraId="58229DDB"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14</w:t>
            </w:r>
          </w:p>
        </w:tc>
        <w:tc>
          <w:tcPr>
            <w:tcW w:w="536" w:type="dxa"/>
            <w:tcBorders>
              <w:top w:val="nil"/>
              <w:left w:val="nil"/>
              <w:bottom w:val="single" w:sz="4" w:space="0" w:color="auto"/>
              <w:right w:val="single" w:sz="4" w:space="0" w:color="auto"/>
            </w:tcBorders>
            <w:shd w:val="clear" w:color="000000" w:fill="A9D08E"/>
            <w:noWrap/>
            <w:vAlign w:val="center"/>
            <w:hideMark/>
          </w:tcPr>
          <w:p w14:paraId="430EB5AC"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10.5</w:t>
            </w:r>
          </w:p>
        </w:tc>
        <w:tc>
          <w:tcPr>
            <w:tcW w:w="528" w:type="dxa"/>
            <w:tcBorders>
              <w:top w:val="nil"/>
              <w:left w:val="nil"/>
              <w:bottom w:val="single" w:sz="4" w:space="0" w:color="auto"/>
              <w:right w:val="single" w:sz="4" w:space="0" w:color="auto"/>
            </w:tcBorders>
            <w:shd w:val="clear" w:color="000000" w:fill="B4C6E7"/>
            <w:vAlign w:val="center"/>
            <w:hideMark/>
          </w:tcPr>
          <w:p w14:paraId="265C5C88"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35</w:t>
            </w:r>
          </w:p>
        </w:tc>
        <w:tc>
          <w:tcPr>
            <w:tcW w:w="689" w:type="dxa"/>
            <w:tcBorders>
              <w:top w:val="nil"/>
              <w:left w:val="nil"/>
              <w:bottom w:val="single" w:sz="4" w:space="0" w:color="auto"/>
              <w:right w:val="single" w:sz="4" w:space="0" w:color="auto"/>
            </w:tcBorders>
            <w:shd w:val="clear" w:color="000000" w:fill="DDEBF7"/>
            <w:vAlign w:val="center"/>
            <w:hideMark/>
          </w:tcPr>
          <w:p w14:paraId="4056871A"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18</w:t>
            </w:r>
          </w:p>
        </w:tc>
        <w:tc>
          <w:tcPr>
            <w:tcW w:w="490" w:type="dxa"/>
            <w:tcBorders>
              <w:top w:val="nil"/>
              <w:left w:val="nil"/>
              <w:bottom w:val="single" w:sz="4" w:space="0" w:color="auto"/>
              <w:right w:val="single" w:sz="4" w:space="0" w:color="auto"/>
            </w:tcBorders>
            <w:shd w:val="clear" w:color="000000" w:fill="00B050"/>
            <w:vAlign w:val="center"/>
            <w:hideMark/>
          </w:tcPr>
          <w:p w14:paraId="5289C50A"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71</w:t>
            </w:r>
          </w:p>
        </w:tc>
        <w:tc>
          <w:tcPr>
            <w:tcW w:w="522" w:type="dxa"/>
            <w:tcBorders>
              <w:top w:val="nil"/>
              <w:left w:val="nil"/>
              <w:bottom w:val="single" w:sz="4" w:space="0" w:color="auto"/>
              <w:right w:val="single" w:sz="4" w:space="0" w:color="auto"/>
            </w:tcBorders>
            <w:shd w:val="clear" w:color="000000" w:fill="00B050"/>
            <w:vAlign w:val="center"/>
            <w:hideMark/>
          </w:tcPr>
          <w:p w14:paraId="0A58ED3F"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53</w:t>
            </w:r>
          </w:p>
        </w:tc>
        <w:tc>
          <w:tcPr>
            <w:tcW w:w="560" w:type="dxa"/>
            <w:tcBorders>
              <w:top w:val="nil"/>
              <w:left w:val="nil"/>
              <w:bottom w:val="single" w:sz="4" w:space="0" w:color="auto"/>
              <w:right w:val="single" w:sz="4" w:space="0" w:color="auto"/>
            </w:tcBorders>
            <w:shd w:val="clear" w:color="000000" w:fill="D9D9D9"/>
            <w:vAlign w:val="center"/>
            <w:hideMark/>
          </w:tcPr>
          <w:p w14:paraId="109250D9"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15</w:t>
            </w:r>
          </w:p>
        </w:tc>
        <w:tc>
          <w:tcPr>
            <w:tcW w:w="560" w:type="dxa"/>
            <w:tcBorders>
              <w:top w:val="nil"/>
              <w:left w:val="nil"/>
              <w:bottom w:val="single" w:sz="4" w:space="0" w:color="auto"/>
              <w:right w:val="single" w:sz="4" w:space="0" w:color="auto"/>
            </w:tcBorders>
            <w:shd w:val="clear" w:color="000000" w:fill="D9D9D9"/>
            <w:vAlign w:val="center"/>
            <w:hideMark/>
          </w:tcPr>
          <w:p w14:paraId="583448D5"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13</w:t>
            </w:r>
          </w:p>
        </w:tc>
        <w:tc>
          <w:tcPr>
            <w:tcW w:w="560" w:type="dxa"/>
            <w:tcBorders>
              <w:top w:val="nil"/>
              <w:left w:val="nil"/>
              <w:bottom w:val="single" w:sz="4" w:space="0" w:color="auto"/>
              <w:right w:val="single" w:sz="4" w:space="0" w:color="auto"/>
            </w:tcBorders>
            <w:shd w:val="clear" w:color="000000" w:fill="D9D9D9"/>
            <w:vAlign w:val="center"/>
            <w:hideMark/>
          </w:tcPr>
          <w:p w14:paraId="68DAEF77"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10</w:t>
            </w:r>
          </w:p>
        </w:tc>
        <w:tc>
          <w:tcPr>
            <w:tcW w:w="560" w:type="dxa"/>
            <w:tcBorders>
              <w:top w:val="nil"/>
              <w:left w:val="nil"/>
              <w:bottom w:val="single" w:sz="4" w:space="0" w:color="auto"/>
              <w:right w:val="single" w:sz="4" w:space="0" w:color="auto"/>
            </w:tcBorders>
            <w:shd w:val="clear" w:color="000000" w:fill="D9D9D9"/>
            <w:vAlign w:val="center"/>
            <w:hideMark/>
          </w:tcPr>
          <w:p w14:paraId="32218B23"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8</w:t>
            </w:r>
          </w:p>
        </w:tc>
        <w:tc>
          <w:tcPr>
            <w:tcW w:w="560" w:type="dxa"/>
            <w:tcBorders>
              <w:top w:val="nil"/>
              <w:left w:val="nil"/>
              <w:bottom w:val="single" w:sz="4" w:space="0" w:color="auto"/>
              <w:right w:val="single" w:sz="4" w:space="0" w:color="auto"/>
            </w:tcBorders>
            <w:shd w:val="clear" w:color="000000" w:fill="D9D9D9"/>
            <w:vAlign w:val="center"/>
            <w:hideMark/>
          </w:tcPr>
          <w:p w14:paraId="4BE38E90"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5</w:t>
            </w:r>
          </w:p>
        </w:tc>
        <w:tc>
          <w:tcPr>
            <w:tcW w:w="560" w:type="dxa"/>
            <w:tcBorders>
              <w:top w:val="nil"/>
              <w:left w:val="nil"/>
              <w:bottom w:val="single" w:sz="4" w:space="0" w:color="auto"/>
              <w:right w:val="single" w:sz="4" w:space="0" w:color="auto"/>
            </w:tcBorders>
            <w:shd w:val="clear" w:color="000000" w:fill="D9D9D9"/>
            <w:vAlign w:val="center"/>
            <w:hideMark/>
          </w:tcPr>
          <w:p w14:paraId="73E103C6"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3</w:t>
            </w:r>
          </w:p>
        </w:tc>
      </w:tr>
      <w:tr w:rsidR="00621EF3" w:rsidRPr="00621EF3" w14:paraId="14AFBC30" w14:textId="77777777" w:rsidTr="00621EF3">
        <w:trPr>
          <w:trHeight w:val="240"/>
          <w:jc w:val="center"/>
        </w:trPr>
        <w:tc>
          <w:tcPr>
            <w:tcW w:w="592" w:type="dxa"/>
            <w:vMerge/>
            <w:tcBorders>
              <w:top w:val="nil"/>
              <w:left w:val="single" w:sz="4" w:space="0" w:color="auto"/>
              <w:bottom w:val="single" w:sz="4" w:space="0" w:color="auto"/>
              <w:right w:val="single" w:sz="4" w:space="0" w:color="auto"/>
            </w:tcBorders>
            <w:vAlign w:val="center"/>
            <w:hideMark/>
          </w:tcPr>
          <w:p w14:paraId="264A891E" w14:textId="77777777" w:rsidR="00621EF3" w:rsidRPr="00621EF3" w:rsidRDefault="00621EF3" w:rsidP="00621EF3">
            <w:pPr>
              <w:overflowPunct/>
              <w:autoSpaceDE/>
              <w:autoSpaceDN/>
              <w:adjustRightInd/>
              <w:spacing w:after="0"/>
              <w:textAlignment w:val="auto"/>
              <w:rPr>
                <w:rFonts w:ascii="Calibri" w:hAnsi="Calibri" w:cs="Calibri"/>
                <w:color w:val="000000"/>
                <w:sz w:val="18"/>
                <w:szCs w:val="18"/>
                <w:lang w:val="en-US" w:eastAsia="en-US"/>
              </w:rPr>
            </w:pPr>
          </w:p>
        </w:tc>
        <w:tc>
          <w:tcPr>
            <w:tcW w:w="490" w:type="dxa"/>
            <w:tcBorders>
              <w:top w:val="nil"/>
              <w:left w:val="nil"/>
              <w:bottom w:val="single" w:sz="4" w:space="0" w:color="auto"/>
              <w:right w:val="single" w:sz="4" w:space="0" w:color="auto"/>
            </w:tcBorders>
            <w:shd w:val="clear" w:color="000000" w:fill="70AD47"/>
            <w:noWrap/>
            <w:vAlign w:val="center"/>
            <w:hideMark/>
          </w:tcPr>
          <w:p w14:paraId="147B1739"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10</w:t>
            </w:r>
          </w:p>
        </w:tc>
        <w:tc>
          <w:tcPr>
            <w:tcW w:w="490" w:type="dxa"/>
            <w:tcBorders>
              <w:top w:val="nil"/>
              <w:left w:val="nil"/>
              <w:bottom w:val="single" w:sz="4" w:space="0" w:color="auto"/>
              <w:right w:val="single" w:sz="4" w:space="0" w:color="auto"/>
            </w:tcBorders>
            <w:shd w:val="clear" w:color="000000" w:fill="C6E0B4"/>
            <w:noWrap/>
            <w:vAlign w:val="center"/>
            <w:hideMark/>
          </w:tcPr>
          <w:p w14:paraId="51369895"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20</w:t>
            </w:r>
          </w:p>
        </w:tc>
        <w:tc>
          <w:tcPr>
            <w:tcW w:w="536" w:type="dxa"/>
            <w:tcBorders>
              <w:top w:val="nil"/>
              <w:left w:val="nil"/>
              <w:bottom w:val="single" w:sz="4" w:space="0" w:color="auto"/>
              <w:right w:val="single" w:sz="4" w:space="0" w:color="auto"/>
            </w:tcBorders>
            <w:shd w:val="clear" w:color="000000" w:fill="A9D08E"/>
            <w:noWrap/>
            <w:vAlign w:val="center"/>
            <w:hideMark/>
          </w:tcPr>
          <w:p w14:paraId="368872C8"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15</w:t>
            </w:r>
          </w:p>
        </w:tc>
        <w:tc>
          <w:tcPr>
            <w:tcW w:w="528" w:type="dxa"/>
            <w:tcBorders>
              <w:top w:val="nil"/>
              <w:left w:val="nil"/>
              <w:bottom w:val="single" w:sz="4" w:space="0" w:color="auto"/>
              <w:right w:val="single" w:sz="4" w:space="0" w:color="auto"/>
            </w:tcBorders>
            <w:shd w:val="clear" w:color="000000" w:fill="B4C6E7"/>
            <w:vAlign w:val="center"/>
            <w:hideMark/>
          </w:tcPr>
          <w:p w14:paraId="2BA836A7"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52</w:t>
            </w:r>
          </w:p>
        </w:tc>
        <w:tc>
          <w:tcPr>
            <w:tcW w:w="689" w:type="dxa"/>
            <w:tcBorders>
              <w:top w:val="nil"/>
              <w:left w:val="nil"/>
              <w:bottom w:val="single" w:sz="4" w:space="0" w:color="auto"/>
              <w:right w:val="single" w:sz="4" w:space="0" w:color="auto"/>
            </w:tcBorders>
            <w:shd w:val="clear" w:color="000000" w:fill="DDEBF7"/>
            <w:vAlign w:val="center"/>
            <w:hideMark/>
          </w:tcPr>
          <w:p w14:paraId="6F456FE5"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26</w:t>
            </w:r>
          </w:p>
        </w:tc>
        <w:tc>
          <w:tcPr>
            <w:tcW w:w="490" w:type="dxa"/>
            <w:tcBorders>
              <w:top w:val="nil"/>
              <w:left w:val="nil"/>
              <w:bottom w:val="single" w:sz="4" w:space="0" w:color="auto"/>
              <w:right w:val="single" w:sz="4" w:space="0" w:color="auto"/>
            </w:tcBorders>
            <w:shd w:val="clear" w:color="000000" w:fill="00B050"/>
            <w:vAlign w:val="center"/>
            <w:hideMark/>
          </w:tcPr>
          <w:p w14:paraId="55E28C1E"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104</w:t>
            </w:r>
          </w:p>
        </w:tc>
        <w:tc>
          <w:tcPr>
            <w:tcW w:w="522" w:type="dxa"/>
            <w:tcBorders>
              <w:top w:val="nil"/>
              <w:left w:val="nil"/>
              <w:bottom w:val="single" w:sz="4" w:space="0" w:color="auto"/>
              <w:right w:val="single" w:sz="4" w:space="0" w:color="auto"/>
            </w:tcBorders>
            <w:shd w:val="clear" w:color="000000" w:fill="92D050"/>
            <w:vAlign w:val="center"/>
            <w:hideMark/>
          </w:tcPr>
          <w:p w14:paraId="6F263256"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78</w:t>
            </w:r>
          </w:p>
        </w:tc>
        <w:tc>
          <w:tcPr>
            <w:tcW w:w="560" w:type="dxa"/>
            <w:tcBorders>
              <w:top w:val="nil"/>
              <w:left w:val="nil"/>
              <w:bottom w:val="single" w:sz="4" w:space="0" w:color="auto"/>
              <w:right w:val="single" w:sz="4" w:space="0" w:color="auto"/>
            </w:tcBorders>
            <w:shd w:val="clear" w:color="000000" w:fill="D9D9D9"/>
            <w:vAlign w:val="center"/>
            <w:hideMark/>
          </w:tcPr>
          <w:p w14:paraId="27660C79"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23</w:t>
            </w:r>
          </w:p>
        </w:tc>
        <w:tc>
          <w:tcPr>
            <w:tcW w:w="560" w:type="dxa"/>
            <w:tcBorders>
              <w:top w:val="nil"/>
              <w:left w:val="nil"/>
              <w:bottom w:val="single" w:sz="4" w:space="0" w:color="auto"/>
              <w:right w:val="single" w:sz="4" w:space="0" w:color="auto"/>
            </w:tcBorders>
            <w:shd w:val="clear" w:color="000000" w:fill="D9D9D9"/>
            <w:vAlign w:val="center"/>
            <w:hideMark/>
          </w:tcPr>
          <w:p w14:paraId="10F941EC"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19</w:t>
            </w:r>
          </w:p>
        </w:tc>
        <w:tc>
          <w:tcPr>
            <w:tcW w:w="560" w:type="dxa"/>
            <w:tcBorders>
              <w:top w:val="nil"/>
              <w:left w:val="nil"/>
              <w:bottom w:val="single" w:sz="4" w:space="0" w:color="auto"/>
              <w:right w:val="single" w:sz="4" w:space="0" w:color="auto"/>
            </w:tcBorders>
            <w:shd w:val="clear" w:color="000000" w:fill="D9D9D9"/>
            <w:vAlign w:val="center"/>
            <w:hideMark/>
          </w:tcPr>
          <w:p w14:paraId="4562A48B"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15</w:t>
            </w:r>
          </w:p>
        </w:tc>
        <w:tc>
          <w:tcPr>
            <w:tcW w:w="560" w:type="dxa"/>
            <w:tcBorders>
              <w:top w:val="nil"/>
              <w:left w:val="nil"/>
              <w:bottom w:val="single" w:sz="4" w:space="0" w:color="auto"/>
              <w:right w:val="single" w:sz="4" w:space="0" w:color="auto"/>
            </w:tcBorders>
            <w:shd w:val="clear" w:color="000000" w:fill="D9D9D9"/>
            <w:vAlign w:val="center"/>
            <w:hideMark/>
          </w:tcPr>
          <w:p w14:paraId="744F4FF8"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12</w:t>
            </w:r>
          </w:p>
        </w:tc>
        <w:tc>
          <w:tcPr>
            <w:tcW w:w="560" w:type="dxa"/>
            <w:tcBorders>
              <w:top w:val="nil"/>
              <w:left w:val="nil"/>
              <w:bottom w:val="single" w:sz="4" w:space="0" w:color="auto"/>
              <w:right w:val="single" w:sz="4" w:space="0" w:color="auto"/>
            </w:tcBorders>
            <w:shd w:val="clear" w:color="000000" w:fill="D9D9D9"/>
            <w:vAlign w:val="center"/>
            <w:hideMark/>
          </w:tcPr>
          <w:p w14:paraId="21BBD761"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8</w:t>
            </w:r>
          </w:p>
        </w:tc>
        <w:tc>
          <w:tcPr>
            <w:tcW w:w="560" w:type="dxa"/>
            <w:tcBorders>
              <w:top w:val="nil"/>
              <w:left w:val="nil"/>
              <w:bottom w:val="single" w:sz="4" w:space="0" w:color="auto"/>
              <w:right w:val="single" w:sz="4" w:space="0" w:color="auto"/>
            </w:tcBorders>
            <w:shd w:val="clear" w:color="000000" w:fill="D9D9D9"/>
            <w:vAlign w:val="center"/>
            <w:hideMark/>
          </w:tcPr>
          <w:p w14:paraId="3E426880"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4</w:t>
            </w:r>
          </w:p>
        </w:tc>
      </w:tr>
      <w:tr w:rsidR="00621EF3" w:rsidRPr="00621EF3" w14:paraId="7D67D746" w14:textId="77777777" w:rsidTr="00621EF3">
        <w:trPr>
          <w:trHeight w:val="240"/>
          <w:jc w:val="center"/>
        </w:trPr>
        <w:tc>
          <w:tcPr>
            <w:tcW w:w="592" w:type="dxa"/>
            <w:vMerge/>
            <w:tcBorders>
              <w:top w:val="nil"/>
              <w:left w:val="single" w:sz="4" w:space="0" w:color="auto"/>
              <w:bottom w:val="single" w:sz="4" w:space="0" w:color="auto"/>
              <w:right w:val="single" w:sz="4" w:space="0" w:color="auto"/>
            </w:tcBorders>
            <w:vAlign w:val="center"/>
            <w:hideMark/>
          </w:tcPr>
          <w:p w14:paraId="34D32E11" w14:textId="77777777" w:rsidR="00621EF3" w:rsidRPr="00621EF3" w:rsidRDefault="00621EF3" w:rsidP="00621EF3">
            <w:pPr>
              <w:overflowPunct/>
              <w:autoSpaceDE/>
              <w:autoSpaceDN/>
              <w:adjustRightInd/>
              <w:spacing w:after="0"/>
              <w:textAlignment w:val="auto"/>
              <w:rPr>
                <w:rFonts w:ascii="Calibri" w:hAnsi="Calibri" w:cs="Calibri"/>
                <w:color w:val="000000"/>
                <w:sz w:val="18"/>
                <w:szCs w:val="18"/>
                <w:lang w:val="en-US" w:eastAsia="en-US"/>
              </w:rPr>
            </w:pPr>
          </w:p>
        </w:tc>
        <w:tc>
          <w:tcPr>
            <w:tcW w:w="490" w:type="dxa"/>
            <w:tcBorders>
              <w:top w:val="nil"/>
              <w:left w:val="nil"/>
              <w:bottom w:val="single" w:sz="4" w:space="0" w:color="auto"/>
              <w:right w:val="single" w:sz="4" w:space="0" w:color="auto"/>
            </w:tcBorders>
            <w:shd w:val="clear" w:color="000000" w:fill="A9D08E"/>
            <w:noWrap/>
            <w:vAlign w:val="center"/>
            <w:hideMark/>
          </w:tcPr>
          <w:p w14:paraId="249B1799"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15</w:t>
            </w:r>
          </w:p>
        </w:tc>
        <w:tc>
          <w:tcPr>
            <w:tcW w:w="490" w:type="dxa"/>
            <w:tcBorders>
              <w:top w:val="nil"/>
              <w:left w:val="nil"/>
              <w:bottom w:val="single" w:sz="4" w:space="0" w:color="auto"/>
              <w:right w:val="single" w:sz="4" w:space="0" w:color="auto"/>
            </w:tcBorders>
            <w:shd w:val="clear" w:color="000000" w:fill="FFE699"/>
            <w:noWrap/>
            <w:vAlign w:val="center"/>
            <w:hideMark/>
          </w:tcPr>
          <w:p w14:paraId="6CE4FEC1"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30</w:t>
            </w:r>
          </w:p>
        </w:tc>
        <w:tc>
          <w:tcPr>
            <w:tcW w:w="536" w:type="dxa"/>
            <w:tcBorders>
              <w:top w:val="nil"/>
              <w:left w:val="nil"/>
              <w:bottom w:val="single" w:sz="4" w:space="0" w:color="auto"/>
              <w:right w:val="single" w:sz="4" w:space="0" w:color="auto"/>
            </w:tcBorders>
            <w:shd w:val="clear" w:color="000000" w:fill="E2EFDA"/>
            <w:noWrap/>
            <w:vAlign w:val="center"/>
            <w:hideMark/>
          </w:tcPr>
          <w:p w14:paraId="280E1878"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22.5</w:t>
            </w:r>
          </w:p>
        </w:tc>
        <w:tc>
          <w:tcPr>
            <w:tcW w:w="528" w:type="dxa"/>
            <w:tcBorders>
              <w:top w:val="nil"/>
              <w:left w:val="nil"/>
              <w:bottom w:val="single" w:sz="4" w:space="0" w:color="auto"/>
              <w:right w:val="single" w:sz="4" w:space="0" w:color="auto"/>
            </w:tcBorders>
            <w:shd w:val="clear" w:color="000000" w:fill="B4C6E7"/>
            <w:vAlign w:val="center"/>
            <w:hideMark/>
          </w:tcPr>
          <w:p w14:paraId="3FCD6BDE"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79</w:t>
            </w:r>
          </w:p>
        </w:tc>
        <w:tc>
          <w:tcPr>
            <w:tcW w:w="689" w:type="dxa"/>
            <w:tcBorders>
              <w:top w:val="nil"/>
              <w:left w:val="nil"/>
              <w:bottom w:val="single" w:sz="4" w:space="0" w:color="auto"/>
              <w:right w:val="single" w:sz="4" w:space="0" w:color="auto"/>
            </w:tcBorders>
            <w:shd w:val="clear" w:color="000000" w:fill="DDEBF7"/>
            <w:vAlign w:val="center"/>
            <w:hideMark/>
          </w:tcPr>
          <w:p w14:paraId="46AFE6EF"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40</w:t>
            </w:r>
          </w:p>
        </w:tc>
        <w:tc>
          <w:tcPr>
            <w:tcW w:w="490" w:type="dxa"/>
            <w:tcBorders>
              <w:top w:val="nil"/>
              <w:left w:val="nil"/>
              <w:bottom w:val="single" w:sz="4" w:space="0" w:color="auto"/>
              <w:right w:val="single" w:sz="4" w:space="0" w:color="auto"/>
            </w:tcBorders>
            <w:shd w:val="clear" w:color="000000" w:fill="92D050"/>
            <w:vAlign w:val="center"/>
            <w:hideMark/>
          </w:tcPr>
          <w:p w14:paraId="653B3D02"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159</w:t>
            </w:r>
          </w:p>
        </w:tc>
        <w:tc>
          <w:tcPr>
            <w:tcW w:w="522" w:type="dxa"/>
            <w:tcBorders>
              <w:top w:val="nil"/>
              <w:left w:val="nil"/>
              <w:bottom w:val="single" w:sz="4" w:space="0" w:color="auto"/>
              <w:right w:val="single" w:sz="4" w:space="0" w:color="auto"/>
            </w:tcBorders>
            <w:shd w:val="clear" w:color="000000" w:fill="00B050"/>
            <w:vAlign w:val="center"/>
            <w:hideMark/>
          </w:tcPr>
          <w:p w14:paraId="2CA05BEE"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119</w:t>
            </w:r>
          </w:p>
        </w:tc>
        <w:tc>
          <w:tcPr>
            <w:tcW w:w="560" w:type="dxa"/>
            <w:tcBorders>
              <w:top w:val="nil"/>
              <w:left w:val="nil"/>
              <w:bottom w:val="single" w:sz="4" w:space="0" w:color="auto"/>
              <w:right w:val="single" w:sz="4" w:space="0" w:color="auto"/>
            </w:tcBorders>
            <w:shd w:val="clear" w:color="000000" w:fill="D9D9D9"/>
            <w:vAlign w:val="center"/>
            <w:hideMark/>
          </w:tcPr>
          <w:p w14:paraId="1EF38A03"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34</w:t>
            </w:r>
          </w:p>
        </w:tc>
        <w:tc>
          <w:tcPr>
            <w:tcW w:w="560" w:type="dxa"/>
            <w:tcBorders>
              <w:top w:val="nil"/>
              <w:left w:val="nil"/>
              <w:bottom w:val="single" w:sz="4" w:space="0" w:color="auto"/>
              <w:right w:val="single" w:sz="4" w:space="0" w:color="auto"/>
            </w:tcBorders>
            <w:shd w:val="clear" w:color="000000" w:fill="D9D9D9"/>
            <w:vAlign w:val="center"/>
            <w:hideMark/>
          </w:tcPr>
          <w:p w14:paraId="000252AF"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29</w:t>
            </w:r>
          </w:p>
        </w:tc>
        <w:tc>
          <w:tcPr>
            <w:tcW w:w="560" w:type="dxa"/>
            <w:tcBorders>
              <w:top w:val="nil"/>
              <w:left w:val="nil"/>
              <w:bottom w:val="single" w:sz="4" w:space="0" w:color="auto"/>
              <w:right w:val="single" w:sz="4" w:space="0" w:color="auto"/>
            </w:tcBorders>
            <w:shd w:val="clear" w:color="000000" w:fill="D9D9D9"/>
            <w:vAlign w:val="center"/>
            <w:hideMark/>
          </w:tcPr>
          <w:p w14:paraId="742AC2E3"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23</w:t>
            </w:r>
          </w:p>
        </w:tc>
        <w:tc>
          <w:tcPr>
            <w:tcW w:w="560" w:type="dxa"/>
            <w:tcBorders>
              <w:top w:val="nil"/>
              <w:left w:val="nil"/>
              <w:bottom w:val="single" w:sz="4" w:space="0" w:color="auto"/>
              <w:right w:val="single" w:sz="4" w:space="0" w:color="auto"/>
            </w:tcBorders>
            <w:shd w:val="clear" w:color="000000" w:fill="D9D9D9"/>
            <w:vAlign w:val="center"/>
            <w:hideMark/>
          </w:tcPr>
          <w:p w14:paraId="27836AF7"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17</w:t>
            </w:r>
          </w:p>
        </w:tc>
        <w:tc>
          <w:tcPr>
            <w:tcW w:w="560" w:type="dxa"/>
            <w:tcBorders>
              <w:top w:val="nil"/>
              <w:left w:val="nil"/>
              <w:bottom w:val="single" w:sz="4" w:space="0" w:color="auto"/>
              <w:right w:val="single" w:sz="4" w:space="0" w:color="auto"/>
            </w:tcBorders>
            <w:shd w:val="clear" w:color="000000" w:fill="D9D9D9"/>
            <w:vAlign w:val="center"/>
            <w:hideMark/>
          </w:tcPr>
          <w:p w14:paraId="77AB47BD"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12</w:t>
            </w:r>
          </w:p>
        </w:tc>
        <w:tc>
          <w:tcPr>
            <w:tcW w:w="560" w:type="dxa"/>
            <w:tcBorders>
              <w:top w:val="nil"/>
              <w:left w:val="nil"/>
              <w:bottom w:val="single" w:sz="4" w:space="0" w:color="auto"/>
              <w:right w:val="single" w:sz="4" w:space="0" w:color="auto"/>
            </w:tcBorders>
            <w:shd w:val="clear" w:color="000000" w:fill="D9D9D9"/>
            <w:vAlign w:val="center"/>
            <w:hideMark/>
          </w:tcPr>
          <w:p w14:paraId="00EC1ED7"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6</w:t>
            </w:r>
          </w:p>
        </w:tc>
      </w:tr>
      <w:tr w:rsidR="00621EF3" w:rsidRPr="00621EF3" w14:paraId="36BA92A6" w14:textId="77777777" w:rsidTr="00621EF3">
        <w:trPr>
          <w:trHeight w:val="240"/>
          <w:jc w:val="center"/>
        </w:trPr>
        <w:tc>
          <w:tcPr>
            <w:tcW w:w="592" w:type="dxa"/>
            <w:vMerge/>
            <w:tcBorders>
              <w:top w:val="nil"/>
              <w:left w:val="single" w:sz="4" w:space="0" w:color="auto"/>
              <w:bottom w:val="single" w:sz="4" w:space="0" w:color="auto"/>
              <w:right w:val="single" w:sz="4" w:space="0" w:color="auto"/>
            </w:tcBorders>
            <w:vAlign w:val="center"/>
            <w:hideMark/>
          </w:tcPr>
          <w:p w14:paraId="13BA88FA" w14:textId="77777777" w:rsidR="00621EF3" w:rsidRPr="00621EF3" w:rsidRDefault="00621EF3" w:rsidP="00621EF3">
            <w:pPr>
              <w:overflowPunct/>
              <w:autoSpaceDE/>
              <w:autoSpaceDN/>
              <w:adjustRightInd/>
              <w:spacing w:after="0"/>
              <w:textAlignment w:val="auto"/>
              <w:rPr>
                <w:rFonts w:ascii="Calibri" w:hAnsi="Calibri" w:cs="Calibri"/>
                <w:color w:val="000000"/>
                <w:sz w:val="18"/>
                <w:szCs w:val="18"/>
                <w:lang w:val="en-US" w:eastAsia="en-US"/>
              </w:rPr>
            </w:pPr>
          </w:p>
        </w:tc>
        <w:tc>
          <w:tcPr>
            <w:tcW w:w="490" w:type="dxa"/>
            <w:tcBorders>
              <w:top w:val="nil"/>
              <w:left w:val="nil"/>
              <w:bottom w:val="single" w:sz="4" w:space="0" w:color="auto"/>
              <w:right w:val="single" w:sz="4" w:space="0" w:color="auto"/>
            </w:tcBorders>
            <w:shd w:val="clear" w:color="000000" w:fill="C6E0B4"/>
            <w:noWrap/>
            <w:vAlign w:val="center"/>
            <w:hideMark/>
          </w:tcPr>
          <w:p w14:paraId="76259717"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20</w:t>
            </w:r>
          </w:p>
        </w:tc>
        <w:tc>
          <w:tcPr>
            <w:tcW w:w="490" w:type="dxa"/>
            <w:tcBorders>
              <w:top w:val="nil"/>
              <w:left w:val="nil"/>
              <w:bottom w:val="single" w:sz="4" w:space="0" w:color="auto"/>
              <w:right w:val="single" w:sz="4" w:space="0" w:color="auto"/>
            </w:tcBorders>
            <w:shd w:val="clear" w:color="000000" w:fill="FFC000"/>
            <w:noWrap/>
            <w:vAlign w:val="center"/>
            <w:hideMark/>
          </w:tcPr>
          <w:p w14:paraId="1B223702"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40</w:t>
            </w:r>
          </w:p>
        </w:tc>
        <w:tc>
          <w:tcPr>
            <w:tcW w:w="536" w:type="dxa"/>
            <w:tcBorders>
              <w:top w:val="nil"/>
              <w:left w:val="nil"/>
              <w:bottom w:val="single" w:sz="4" w:space="0" w:color="auto"/>
              <w:right w:val="single" w:sz="4" w:space="0" w:color="auto"/>
            </w:tcBorders>
            <w:shd w:val="clear" w:color="000000" w:fill="FFE699"/>
            <w:noWrap/>
            <w:vAlign w:val="center"/>
            <w:hideMark/>
          </w:tcPr>
          <w:p w14:paraId="0AA4FFB4"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30</w:t>
            </w:r>
          </w:p>
        </w:tc>
        <w:tc>
          <w:tcPr>
            <w:tcW w:w="528" w:type="dxa"/>
            <w:tcBorders>
              <w:top w:val="nil"/>
              <w:left w:val="nil"/>
              <w:bottom w:val="single" w:sz="4" w:space="0" w:color="auto"/>
              <w:right w:val="single" w:sz="4" w:space="0" w:color="auto"/>
            </w:tcBorders>
            <w:shd w:val="clear" w:color="000000" w:fill="B4C6E7"/>
            <w:vAlign w:val="center"/>
            <w:hideMark/>
          </w:tcPr>
          <w:p w14:paraId="76F243CD"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106</w:t>
            </w:r>
          </w:p>
        </w:tc>
        <w:tc>
          <w:tcPr>
            <w:tcW w:w="689" w:type="dxa"/>
            <w:tcBorders>
              <w:top w:val="nil"/>
              <w:left w:val="nil"/>
              <w:bottom w:val="single" w:sz="4" w:space="0" w:color="auto"/>
              <w:right w:val="single" w:sz="4" w:space="0" w:color="auto"/>
            </w:tcBorders>
            <w:shd w:val="clear" w:color="000000" w:fill="DDEBF7"/>
            <w:vAlign w:val="center"/>
            <w:hideMark/>
          </w:tcPr>
          <w:p w14:paraId="471FFE24"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53</w:t>
            </w:r>
          </w:p>
        </w:tc>
        <w:tc>
          <w:tcPr>
            <w:tcW w:w="490" w:type="dxa"/>
            <w:tcBorders>
              <w:top w:val="nil"/>
              <w:left w:val="nil"/>
              <w:bottom w:val="single" w:sz="4" w:space="0" w:color="auto"/>
              <w:right w:val="single" w:sz="4" w:space="0" w:color="auto"/>
            </w:tcBorders>
            <w:shd w:val="clear" w:color="000000" w:fill="00B050"/>
            <w:vAlign w:val="center"/>
            <w:hideMark/>
          </w:tcPr>
          <w:p w14:paraId="31658FDC"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212</w:t>
            </w:r>
          </w:p>
        </w:tc>
        <w:tc>
          <w:tcPr>
            <w:tcW w:w="522" w:type="dxa"/>
            <w:tcBorders>
              <w:top w:val="nil"/>
              <w:left w:val="nil"/>
              <w:bottom w:val="single" w:sz="4" w:space="0" w:color="auto"/>
              <w:right w:val="single" w:sz="4" w:space="0" w:color="auto"/>
            </w:tcBorders>
            <w:shd w:val="clear" w:color="000000" w:fill="92D050"/>
            <w:vAlign w:val="center"/>
            <w:hideMark/>
          </w:tcPr>
          <w:p w14:paraId="204CAA2A"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159</w:t>
            </w:r>
          </w:p>
        </w:tc>
        <w:tc>
          <w:tcPr>
            <w:tcW w:w="560" w:type="dxa"/>
            <w:tcBorders>
              <w:top w:val="nil"/>
              <w:left w:val="nil"/>
              <w:bottom w:val="single" w:sz="4" w:space="0" w:color="auto"/>
              <w:right w:val="single" w:sz="4" w:space="0" w:color="auto"/>
            </w:tcBorders>
            <w:shd w:val="clear" w:color="000000" w:fill="D9D9D9"/>
            <w:vAlign w:val="center"/>
            <w:hideMark/>
          </w:tcPr>
          <w:p w14:paraId="3828CC6C"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46</w:t>
            </w:r>
          </w:p>
        </w:tc>
        <w:tc>
          <w:tcPr>
            <w:tcW w:w="560" w:type="dxa"/>
            <w:tcBorders>
              <w:top w:val="nil"/>
              <w:left w:val="nil"/>
              <w:bottom w:val="single" w:sz="4" w:space="0" w:color="auto"/>
              <w:right w:val="single" w:sz="4" w:space="0" w:color="auto"/>
            </w:tcBorders>
            <w:shd w:val="clear" w:color="000000" w:fill="D9D9D9"/>
            <w:vAlign w:val="center"/>
            <w:hideMark/>
          </w:tcPr>
          <w:p w14:paraId="103729CC"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38</w:t>
            </w:r>
          </w:p>
        </w:tc>
        <w:tc>
          <w:tcPr>
            <w:tcW w:w="560" w:type="dxa"/>
            <w:tcBorders>
              <w:top w:val="nil"/>
              <w:left w:val="nil"/>
              <w:bottom w:val="single" w:sz="4" w:space="0" w:color="auto"/>
              <w:right w:val="single" w:sz="4" w:space="0" w:color="auto"/>
            </w:tcBorders>
            <w:shd w:val="clear" w:color="000000" w:fill="D9D9D9"/>
            <w:vAlign w:val="center"/>
            <w:hideMark/>
          </w:tcPr>
          <w:p w14:paraId="2F4B336E"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31</w:t>
            </w:r>
          </w:p>
        </w:tc>
        <w:tc>
          <w:tcPr>
            <w:tcW w:w="560" w:type="dxa"/>
            <w:tcBorders>
              <w:top w:val="nil"/>
              <w:left w:val="nil"/>
              <w:bottom w:val="single" w:sz="4" w:space="0" w:color="auto"/>
              <w:right w:val="single" w:sz="4" w:space="0" w:color="auto"/>
            </w:tcBorders>
            <w:shd w:val="clear" w:color="000000" w:fill="D9D9D9"/>
            <w:vAlign w:val="center"/>
            <w:hideMark/>
          </w:tcPr>
          <w:p w14:paraId="7300BEE7"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23</w:t>
            </w:r>
          </w:p>
        </w:tc>
        <w:tc>
          <w:tcPr>
            <w:tcW w:w="560" w:type="dxa"/>
            <w:tcBorders>
              <w:top w:val="nil"/>
              <w:left w:val="nil"/>
              <w:bottom w:val="single" w:sz="4" w:space="0" w:color="auto"/>
              <w:right w:val="single" w:sz="4" w:space="0" w:color="auto"/>
            </w:tcBorders>
            <w:shd w:val="clear" w:color="000000" w:fill="D9D9D9"/>
            <w:vAlign w:val="center"/>
            <w:hideMark/>
          </w:tcPr>
          <w:p w14:paraId="7EA889BE"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16</w:t>
            </w:r>
          </w:p>
        </w:tc>
        <w:tc>
          <w:tcPr>
            <w:tcW w:w="560" w:type="dxa"/>
            <w:tcBorders>
              <w:top w:val="nil"/>
              <w:left w:val="nil"/>
              <w:bottom w:val="single" w:sz="4" w:space="0" w:color="auto"/>
              <w:right w:val="single" w:sz="4" w:space="0" w:color="auto"/>
            </w:tcBorders>
            <w:shd w:val="clear" w:color="000000" w:fill="D9D9D9"/>
            <w:vAlign w:val="center"/>
            <w:hideMark/>
          </w:tcPr>
          <w:p w14:paraId="22B93889"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8</w:t>
            </w:r>
          </w:p>
        </w:tc>
      </w:tr>
      <w:tr w:rsidR="00621EF3" w:rsidRPr="00621EF3" w14:paraId="721F9F34" w14:textId="77777777" w:rsidTr="00621EF3">
        <w:trPr>
          <w:trHeight w:val="240"/>
          <w:jc w:val="center"/>
        </w:trPr>
        <w:tc>
          <w:tcPr>
            <w:tcW w:w="592" w:type="dxa"/>
            <w:vMerge/>
            <w:tcBorders>
              <w:top w:val="nil"/>
              <w:left w:val="single" w:sz="4" w:space="0" w:color="auto"/>
              <w:bottom w:val="single" w:sz="4" w:space="0" w:color="auto"/>
              <w:right w:val="single" w:sz="4" w:space="0" w:color="auto"/>
            </w:tcBorders>
            <w:vAlign w:val="center"/>
            <w:hideMark/>
          </w:tcPr>
          <w:p w14:paraId="2E98AA98" w14:textId="77777777" w:rsidR="00621EF3" w:rsidRPr="00621EF3" w:rsidRDefault="00621EF3" w:rsidP="00621EF3">
            <w:pPr>
              <w:overflowPunct/>
              <w:autoSpaceDE/>
              <w:autoSpaceDN/>
              <w:adjustRightInd/>
              <w:spacing w:after="0"/>
              <w:textAlignment w:val="auto"/>
              <w:rPr>
                <w:rFonts w:ascii="Calibri" w:hAnsi="Calibri" w:cs="Calibri"/>
                <w:color w:val="000000"/>
                <w:sz w:val="18"/>
                <w:szCs w:val="18"/>
                <w:lang w:val="en-US" w:eastAsia="en-US"/>
              </w:rPr>
            </w:pPr>
          </w:p>
        </w:tc>
        <w:tc>
          <w:tcPr>
            <w:tcW w:w="490" w:type="dxa"/>
            <w:tcBorders>
              <w:top w:val="nil"/>
              <w:left w:val="nil"/>
              <w:bottom w:val="single" w:sz="4" w:space="0" w:color="auto"/>
              <w:right w:val="single" w:sz="4" w:space="0" w:color="auto"/>
            </w:tcBorders>
            <w:shd w:val="clear" w:color="000000" w:fill="E2EFDA"/>
            <w:noWrap/>
            <w:vAlign w:val="center"/>
            <w:hideMark/>
          </w:tcPr>
          <w:p w14:paraId="31D55D37"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25</w:t>
            </w:r>
          </w:p>
        </w:tc>
        <w:tc>
          <w:tcPr>
            <w:tcW w:w="490" w:type="dxa"/>
            <w:tcBorders>
              <w:top w:val="nil"/>
              <w:left w:val="nil"/>
              <w:bottom w:val="single" w:sz="4" w:space="0" w:color="auto"/>
              <w:right w:val="single" w:sz="4" w:space="0" w:color="auto"/>
            </w:tcBorders>
            <w:shd w:val="clear" w:color="000000" w:fill="806000"/>
            <w:noWrap/>
            <w:vAlign w:val="center"/>
            <w:hideMark/>
          </w:tcPr>
          <w:p w14:paraId="6165D235" w14:textId="77777777" w:rsidR="00621EF3" w:rsidRPr="00621EF3" w:rsidRDefault="00621EF3" w:rsidP="00621EF3">
            <w:pPr>
              <w:overflowPunct/>
              <w:autoSpaceDE/>
              <w:autoSpaceDN/>
              <w:adjustRightInd/>
              <w:spacing w:after="0"/>
              <w:jc w:val="center"/>
              <w:textAlignment w:val="auto"/>
              <w:rPr>
                <w:rFonts w:ascii="Calibri" w:hAnsi="Calibri" w:cs="Calibri"/>
                <w:b/>
                <w:bCs/>
                <w:color w:val="000000"/>
                <w:sz w:val="18"/>
                <w:szCs w:val="18"/>
                <w:lang w:val="en-US" w:eastAsia="en-US"/>
              </w:rPr>
            </w:pPr>
            <w:r w:rsidRPr="00621EF3">
              <w:rPr>
                <w:rFonts w:ascii="Calibri" w:hAnsi="Calibri" w:cs="Calibri"/>
                <w:b/>
                <w:bCs/>
                <w:color w:val="000000"/>
                <w:sz w:val="18"/>
                <w:szCs w:val="18"/>
                <w:lang w:val="en-US" w:eastAsia="en-US"/>
              </w:rPr>
              <w:t>50</w:t>
            </w:r>
          </w:p>
        </w:tc>
        <w:tc>
          <w:tcPr>
            <w:tcW w:w="536" w:type="dxa"/>
            <w:tcBorders>
              <w:top w:val="nil"/>
              <w:left w:val="nil"/>
              <w:bottom w:val="single" w:sz="4" w:space="0" w:color="auto"/>
              <w:right w:val="single" w:sz="4" w:space="0" w:color="auto"/>
            </w:tcBorders>
            <w:shd w:val="clear" w:color="000000" w:fill="FFC000"/>
            <w:noWrap/>
            <w:vAlign w:val="center"/>
            <w:hideMark/>
          </w:tcPr>
          <w:p w14:paraId="1A3E232F"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37.5</w:t>
            </w:r>
          </w:p>
        </w:tc>
        <w:tc>
          <w:tcPr>
            <w:tcW w:w="528" w:type="dxa"/>
            <w:tcBorders>
              <w:top w:val="nil"/>
              <w:left w:val="nil"/>
              <w:bottom w:val="single" w:sz="4" w:space="0" w:color="auto"/>
              <w:right w:val="single" w:sz="4" w:space="0" w:color="auto"/>
            </w:tcBorders>
            <w:shd w:val="clear" w:color="000000" w:fill="B4C6E7"/>
            <w:vAlign w:val="center"/>
            <w:hideMark/>
          </w:tcPr>
          <w:p w14:paraId="5CD87313"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133</w:t>
            </w:r>
          </w:p>
        </w:tc>
        <w:tc>
          <w:tcPr>
            <w:tcW w:w="689" w:type="dxa"/>
            <w:tcBorders>
              <w:top w:val="nil"/>
              <w:left w:val="nil"/>
              <w:bottom w:val="single" w:sz="4" w:space="0" w:color="auto"/>
              <w:right w:val="single" w:sz="4" w:space="0" w:color="auto"/>
            </w:tcBorders>
            <w:shd w:val="clear" w:color="000000" w:fill="DDEBF7"/>
            <w:vAlign w:val="center"/>
            <w:hideMark/>
          </w:tcPr>
          <w:p w14:paraId="76C39829"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67</w:t>
            </w:r>
          </w:p>
        </w:tc>
        <w:tc>
          <w:tcPr>
            <w:tcW w:w="490" w:type="dxa"/>
            <w:tcBorders>
              <w:top w:val="nil"/>
              <w:left w:val="nil"/>
              <w:bottom w:val="single" w:sz="4" w:space="0" w:color="auto"/>
              <w:right w:val="single" w:sz="4" w:space="0" w:color="auto"/>
            </w:tcBorders>
            <w:shd w:val="clear" w:color="000000" w:fill="00B050"/>
            <w:vAlign w:val="center"/>
            <w:hideMark/>
          </w:tcPr>
          <w:p w14:paraId="48B14B30"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267</w:t>
            </w:r>
          </w:p>
        </w:tc>
        <w:tc>
          <w:tcPr>
            <w:tcW w:w="522" w:type="dxa"/>
            <w:tcBorders>
              <w:top w:val="nil"/>
              <w:left w:val="nil"/>
              <w:bottom w:val="single" w:sz="4" w:space="0" w:color="auto"/>
              <w:right w:val="single" w:sz="4" w:space="0" w:color="auto"/>
            </w:tcBorders>
            <w:shd w:val="clear" w:color="000000" w:fill="00B050"/>
            <w:vAlign w:val="center"/>
            <w:hideMark/>
          </w:tcPr>
          <w:p w14:paraId="549E58A9"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200</w:t>
            </w:r>
          </w:p>
        </w:tc>
        <w:tc>
          <w:tcPr>
            <w:tcW w:w="560" w:type="dxa"/>
            <w:tcBorders>
              <w:top w:val="nil"/>
              <w:left w:val="nil"/>
              <w:bottom w:val="single" w:sz="4" w:space="0" w:color="auto"/>
              <w:right w:val="single" w:sz="4" w:space="0" w:color="auto"/>
            </w:tcBorders>
            <w:shd w:val="clear" w:color="000000" w:fill="D9D9D9"/>
            <w:vAlign w:val="center"/>
            <w:hideMark/>
          </w:tcPr>
          <w:p w14:paraId="59BC3EA2"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57</w:t>
            </w:r>
          </w:p>
        </w:tc>
        <w:tc>
          <w:tcPr>
            <w:tcW w:w="560" w:type="dxa"/>
            <w:tcBorders>
              <w:top w:val="nil"/>
              <w:left w:val="nil"/>
              <w:bottom w:val="single" w:sz="4" w:space="0" w:color="auto"/>
              <w:right w:val="single" w:sz="4" w:space="0" w:color="auto"/>
            </w:tcBorders>
            <w:shd w:val="clear" w:color="000000" w:fill="D9D9D9"/>
            <w:vAlign w:val="center"/>
            <w:hideMark/>
          </w:tcPr>
          <w:p w14:paraId="25BBB4A1"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48</w:t>
            </w:r>
          </w:p>
        </w:tc>
        <w:tc>
          <w:tcPr>
            <w:tcW w:w="560" w:type="dxa"/>
            <w:tcBorders>
              <w:top w:val="nil"/>
              <w:left w:val="nil"/>
              <w:bottom w:val="single" w:sz="4" w:space="0" w:color="auto"/>
              <w:right w:val="single" w:sz="4" w:space="0" w:color="auto"/>
            </w:tcBorders>
            <w:shd w:val="clear" w:color="000000" w:fill="D9D9D9"/>
            <w:vAlign w:val="center"/>
            <w:hideMark/>
          </w:tcPr>
          <w:p w14:paraId="2D0D4DEB"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38</w:t>
            </w:r>
          </w:p>
        </w:tc>
        <w:tc>
          <w:tcPr>
            <w:tcW w:w="560" w:type="dxa"/>
            <w:tcBorders>
              <w:top w:val="nil"/>
              <w:left w:val="nil"/>
              <w:bottom w:val="single" w:sz="4" w:space="0" w:color="auto"/>
              <w:right w:val="single" w:sz="4" w:space="0" w:color="auto"/>
            </w:tcBorders>
            <w:shd w:val="clear" w:color="000000" w:fill="D9D9D9"/>
            <w:vAlign w:val="center"/>
            <w:hideMark/>
          </w:tcPr>
          <w:p w14:paraId="72730A82"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29</w:t>
            </w:r>
          </w:p>
        </w:tc>
        <w:tc>
          <w:tcPr>
            <w:tcW w:w="560" w:type="dxa"/>
            <w:tcBorders>
              <w:top w:val="nil"/>
              <w:left w:val="nil"/>
              <w:bottom w:val="single" w:sz="4" w:space="0" w:color="auto"/>
              <w:right w:val="single" w:sz="4" w:space="0" w:color="auto"/>
            </w:tcBorders>
            <w:shd w:val="clear" w:color="000000" w:fill="D9D9D9"/>
            <w:vAlign w:val="center"/>
            <w:hideMark/>
          </w:tcPr>
          <w:p w14:paraId="42670AC6"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19</w:t>
            </w:r>
          </w:p>
        </w:tc>
        <w:tc>
          <w:tcPr>
            <w:tcW w:w="560" w:type="dxa"/>
            <w:tcBorders>
              <w:top w:val="nil"/>
              <w:left w:val="nil"/>
              <w:bottom w:val="single" w:sz="4" w:space="0" w:color="auto"/>
              <w:right w:val="single" w:sz="4" w:space="0" w:color="auto"/>
            </w:tcBorders>
            <w:shd w:val="clear" w:color="000000" w:fill="D9D9D9"/>
            <w:vAlign w:val="center"/>
            <w:hideMark/>
          </w:tcPr>
          <w:p w14:paraId="061516FD"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10</w:t>
            </w:r>
          </w:p>
        </w:tc>
      </w:tr>
      <w:tr w:rsidR="00621EF3" w:rsidRPr="00621EF3" w14:paraId="40221D65" w14:textId="77777777" w:rsidTr="00621EF3">
        <w:trPr>
          <w:trHeight w:val="240"/>
          <w:jc w:val="center"/>
        </w:trPr>
        <w:tc>
          <w:tcPr>
            <w:tcW w:w="592" w:type="dxa"/>
            <w:vMerge/>
            <w:tcBorders>
              <w:top w:val="nil"/>
              <w:left w:val="single" w:sz="4" w:space="0" w:color="auto"/>
              <w:bottom w:val="single" w:sz="4" w:space="0" w:color="auto"/>
              <w:right w:val="single" w:sz="4" w:space="0" w:color="auto"/>
            </w:tcBorders>
            <w:vAlign w:val="center"/>
            <w:hideMark/>
          </w:tcPr>
          <w:p w14:paraId="422B900B" w14:textId="77777777" w:rsidR="00621EF3" w:rsidRPr="00621EF3" w:rsidRDefault="00621EF3" w:rsidP="00621EF3">
            <w:pPr>
              <w:overflowPunct/>
              <w:autoSpaceDE/>
              <w:autoSpaceDN/>
              <w:adjustRightInd/>
              <w:spacing w:after="0"/>
              <w:textAlignment w:val="auto"/>
              <w:rPr>
                <w:rFonts w:ascii="Calibri" w:hAnsi="Calibri" w:cs="Calibri"/>
                <w:color w:val="000000"/>
                <w:sz w:val="18"/>
                <w:szCs w:val="18"/>
                <w:lang w:val="en-US" w:eastAsia="en-US"/>
              </w:rPr>
            </w:pPr>
          </w:p>
        </w:tc>
        <w:tc>
          <w:tcPr>
            <w:tcW w:w="490" w:type="dxa"/>
            <w:tcBorders>
              <w:top w:val="nil"/>
              <w:left w:val="nil"/>
              <w:bottom w:val="single" w:sz="4" w:space="0" w:color="auto"/>
              <w:right w:val="single" w:sz="4" w:space="0" w:color="auto"/>
            </w:tcBorders>
            <w:shd w:val="clear" w:color="000000" w:fill="FFE699"/>
            <w:noWrap/>
            <w:vAlign w:val="center"/>
            <w:hideMark/>
          </w:tcPr>
          <w:p w14:paraId="1C41BD1B"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30</w:t>
            </w:r>
          </w:p>
        </w:tc>
        <w:tc>
          <w:tcPr>
            <w:tcW w:w="490" w:type="dxa"/>
            <w:tcBorders>
              <w:top w:val="nil"/>
              <w:left w:val="nil"/>
              <w:bottom w:val="single" w:sz="4" w:space="0" w:color="auto"/>
              <w:right w:val="single" w:sz="4" w:space="0" w:color="auto"/>
            </w:tcBorders>
            <w:shd w:val="clear" w:color="000000" w:fill="F8CBAD"/>
            <w:noWrap/>
            <w:vAlign w:val="center"/>
            <w:hideMark/>
          </w:tcPr>
          <w:p w14:paraId="210076BF"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60</w:t>
            </w:r>
          </w:p>
        </w:tc>
        <w:tc>
          <w:tcPr>
            <w:tcW w:w="536" w:type="dxa"/>
            <w:tcBorders>
              <w:top w:val="nil"/>
              <w:left w:val="nil"/>
              <w:bottom w:val="single" w:sz="4" w:space="0" w:color="auto"/>
              <w:right w:val="single" w:sz="4" w:space="0" w:color="auto"/>
            </w:tcBorders>
            <w:shd w:val="clear" w:color="000000" w:fill="BF8F00"/>
            <w:noWrap/>
            <w:vAlign w:val="center"/>
            <w:hideMark/>
          </w:tcPr>
          <w:p w14:paraId="29D8513C"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45</w:t>
            </w:r>
          </w:p>
        </w:tc>
        <w:tc>
          <w:tcPr>
            <w:tcW w:w="528" w:type="dxa"/>
            <w:tcBorders>
              <w:top w:val="nil"/>
              <w:left w:val="nil"/>
              <w:bottom w:val="single" w:sz="4" w:space="0" w:color="auto"/>
              <w:right w:val="single" w:sz="4" w:space="0" w:color="auto"/>
            </w:tcBorders>
            <w:shd w:val="clear" w:color="000000" w:fill="B4C6E7"/>
            <w:vAlign w:val="center"/>
            <w:hideMark/>
          </w:tcPr>
          <w:p w14:paraId="6AB12816"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160</w:t>
            </w:r>
          </w:p>
        </w:tc>
        <w:tc>
          <w:tcPr>
            <w:tcW w:w="689" w:type="dxa"/>
            <w:tcBorders>
              <w:top w:val="nil"/>
              <w:left w:val="nil"/>
              <w:bottom w:val="single" w:sz="4" w:space="0" w:color="auto"/>
              <w:right w:val="single" w:sz="4" w:space="0" w:color="auto"/>
            </w:tcBorders>
            <w:shd w:val="clear" w:color="000000" w:fill="DDEBF7"/>
            <w:vAlign w:val="center"/>
            <w:hideMark/>
          </w:tcPr>
          <w:p w14:paraId="295BC429"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80</w:t>
            </w:r>
          </w:p>
        </w:tc>
        <w:tc>
          <w:tcPr>
            <w:tcW w:w="490" w:type="dxa"/>
            <w:tcBorders>
              <w:top w:val="nil"/>
              <w:left w:val="nil"/>
              <w:bottom w:val="single" w:sz="4" w:space="0" w:color="auto"/>
              <w:right w:val="single" w:sz="4" w:space="0" w:color="auto"/>
            </w:tcBorders>
            <w:shd w:val="clear" w:color="000000" w:fill="00B050"/>
            <w:vAlign w:val="center"/>
            <w:hideMark/>
          </w:tcPr>
          <w:p w14:paraId="40812F83"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320</w:t>
            </w:r>
          </w:p>
        </w:tc>
        <w:tc>
          <w:tcPr>
            <w:tcW w:w="522" w:type="dxa"/>
            <w:tcBorders>
              <w:top w:val="nil"/>
              <w:left w:val="nil"/>
              <w:bottom w:val="single" w:sz="4" w:space="0" w:color="auto"/>
              <w:right w:val="single" w:sz="4" w:space="0" w:color="auto"/>
            </w:tcBorders>
            <w:shd w:val="clear" w:color="000000" w:fill="00B050"/>
            <w:vAlign w:val="center"/>
            <w:hideMark/>
          </w:tcPr>
          <w:p w14:paraId="37088D88"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240</w:t>
            </w:r>
          </w:p>
        </w:tc>
        <w:tc>
          <w:tcPr>
            <w:tcW w:w="560" w:type="dxa"/>
            <w:tcBorders>
              <w:top w:val="nil"/>
              <w:left w:val="nil"/>
              <w:bottom w:val="single" w:sz="4" w:space="0" w:color="auto"/>
              <w:right w:val="single" w:sz="4" w:space="0" w:color="auto"/>
            </w:tcBorders>
            <w:shd w:val="clear" w:color="000000" w:fill="D9D9D9"/>
            <w:vAlign w:val="center"/>
            <w:hideMark/>
          </w:tcPr>
          <w:p w14:paraId="5E2A652F"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69</w:t>
            </w:r>
          </w:p>
        </w:tc>
        <w:tc>
          <w:tcPr>
            <w:tcW w:w="560" w:type="dxa"/>
            <w:tcBorders>
              <w:top w:val="nil"/>
              <w:left w:val="nil"/>
              <w:bottom w:val="single" w:sz="4" w:space="0" w:color="auto"/>
              <w:right w:val="single" w:sz="4" w:space="0" w:color="auto"/>
            </w:tcBorders>
            <w:shd w:val="clear" w:color="000000" w:fill="D9D9D9"/>
            <w:vAlign w:val="center"/>
            <w:hideMark/>
          </w:tcPr>
          <w:p w14:paraId="1B78A08E"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58</w:t>
            </w:r>
          </w:p>
        </w:tc>
        <w:tc>
          <w:tcPr>
            <w:tcW w:w="560" w:type="dxa"/>
            <w:tcBorders>
              <w:top w:val="nil"/>
              <w:left w:val="nil"/>
              <w:bottom w:val="single" w:sz="4" w:space="0" w:color="auto"/>
              <w:right w:val="single" w:sz="4" w:space="0" w:color="auto"/>
            </w:tcBorders>
            <w:shd w:val="clear" w:color="000000" w:fill="D9D9D9"/>
            <w:vAlign w:val="center"/>
            <w:hideMark/>
          </w:tcPr>
          <w:p w14:paraId="7DB43150"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46</w:t>
            </w:r>
          </w:p>
        </w:tc>
        <w:tc>
          <w:tcPr>
            <w:tcW w:w="560" w:type="dxa"/>
            <w:tcBorders>
              <w:top w:val="nil"/>
              <w:left w:val="nil"/>
              <w:bottom w:val="single" w:sz="4" w:space="0" w:color="auto"/>
              <w:right w:val="single" w:sz="4" w:space="0" w:color="auto"/>
            </w:tcBorders>
            <w:shd w:val="clear" w:color="000000" w:fill="D9D9D9"/>
            <w:vAlign w:val="center"/>
            <w:hideMark/>
          </w:tcPr>
          <w:p w14:paraId="04D4C014"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35</w:t>
            </w:r>
          </w:p>
        </w:tc>
        <w:tc>
          <w:tcPr>
            <w:tcW w:w="560" w:type="dxa"/>
            <w:tcBorders>
              <w:top w:val="nil"/>
              <w:left w:val="nil"/>
              <w:bottom w:val="single" w:sz="4" w:space="0" w:color="auto"/>
              <w:right w:val="single" w:sz="4" w:space="0" w:color="auto"/>
            </w:tcBorders>
            <w:shd w:val="clear" w:color="000000" w:fill="D9D9D9"/>
            <w:vAlign w:val="center"/>
            <w:hideMark/>
          </w:tcPr>
          <w:p w14:paraId="70D97609"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23</w:t>
            </w:r>
          </w:p>
        </w:tc>
        <w:tc>
          <w:tcPr>
            <w:tcW w:w="560" w:type="dxa"/>
            <w:tcBorders>
              <w:top w:val="nil"/>
              <w:left w:val="nil"/>
              <w:bottom w:val="single" w:sz="4" w:space="0" w:color="auto"/>
              <w:right w:val="single" w:sz="4" w:space="0" w:color="auto"/>
            </w:tcBorders>
            <w:shd w:val="clear" w:color="000000" w:fill="D9D9D9"/>
            <w:vAlign w:val="center"/>
            <w:hideMark/>
          </w:tcPr>
          <w:p w14:paraId="61922F01"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12</w:t>
            </w:r>
          </w:p>
        </w:tc>
      </w:tr>
      <w:tr w:rsidR="00621EF3" w:rsidRPr="00621EF3" w14:paraId="01C93D24" w14:textId="77777777" w:rsidTr="00621EF3">
        <w:trPr>
          <w:trHeight w:val="240"/>
          <w:jc w:val="center"/>
        </w:trPr>
        <w:tc>
          <w:tcPr>
            <w:tcW w:w="592" w:type="dxa"/>
            <w:vMerge/>
            <w:tcBorders>
              <w:top w:val="nil"/>
              <w:left w:val="single" w:sz="4" w:space="0" w:color="auto"/>
              <w:bottom w:val="single" w:sz="4" w:space="0" w:color="auto"/>
              <w:right w:val="single" w:sz="4" w:space="0" w:color="auto"/>
            </w:tcBorders>
            <w:vAlign w:val="center"/>
            <w:hideMark/>
          </w:tcPr>
          <w:p w14:paraId="77CE71F9" w14:textId="77777777" w:rsidR="00621EF3" w:rsidRPr="00621EF3" w:rsidRDefault="00621EF3" w:rsidP="00621EF3">
            <w:pPr>
              <w:overflowPunct/>
              <w:autoSpaceDE/>
              <w:autoSpaceDN/>
              <w:adjustRightInd/>
              <w:spacing w:after="0"/>
              <w:textAlignment w:val="auto"/>
              <w:rPr>
                <w:rFonts w:ascii="Calibri" w:hAnsi="Calibri" w:cs="Calibri"/>
                <w:color w:val="000000"/>
                <w:sz w:val="18"/>
                <w:szCs w:val="18"/>
                <w:lang w:val="en-US" w:eastAsia="en-US"/>
              </w:rPr>
            </w:pPr>
          </w:p>
        </w:tc>
        <w:tc>
          <w:tcPr>
            <w:tcW w:w="490" w:type="dxa"/>
            <w:tcBorders>
              <w:top w:val="nil"/>
              <w:left w:val="nil"/>
              <w:bottom w:val="single" w:sz="4" w:space="0" w:color="auto"/>
              <w:right w:val="single" w:sz="4" w:space="0" w:color="auto"/>
            </w:tcBorders>
            <w:shd w:val="clear" w:color="000000" w:fill="FFD966"/>
            <w:noWrap/>
            <w:vAlign w:val="center"/>
            <w:hideMark/>
          </w:tcPr>
          <w:p w14:paraId="45F745D5"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35</w:t>
            </w:r>
          </w:p>
        </w:tc>
        <w:tc>
          <w:tcPr>
            <w:tcW w:w="490" w:type="dxa"/>
            <w:tcBorders>
              <w:top w:val="nil"/>
              <w:left w:val="nil"/>
              <w:bottom w:val="single" w:sz="4" w:space="0" w:color="auto"/>
              <w:right w:val="single" w:sz="4" w:space="0" w:color="auto"/>
            </w:tcBorders>
            <w:shd w:val="clear" w:color="000000" w:fill="F4B084"/>
            <w:noWrap/>
            <w:vAlign w:val="center"/>
            <w:hideMark/>
          </w:tcPr>
          <w:p w14:paraId="3A3ED745"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70</w:t>
            </w:r>
          </w:p>
        </w:tc>
        <w:tc>
          <w:tcPr>
            <w:tcW w:w="536" w:type="dxa"/>
            <w:tcBorders>
              <w:top w:val="nil"/>
              <w:left w:val="nil"/>
              <w:bottom w:val="single" w:sz="4" w:space="0" w:color="auto"/>
              <w:right w:val="single" w:sz="4" w:space="0" w:color="auto"/>
            </w:tcBorders>
            <w:shd w:val="clear" w:color="000000" w:fill="F8CBAD"/>
            <w:noWrap/>
            <w:vAlign w:val="center"/>
            <w:hideMark/>
          </w:tcPr>
          <w:p w14:paraId="17D53235"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52.5</w:t>
            </w:r>
          </w:p>
        </w:tc>
        <w:tc>
          <w:tcPr>
            <w:tcW w:w="528" w:type="dxa"/>
            <w:tcBorders>
              <w:top w:val="nil"/>
              <w:left w:val="nil"/>
              <w:bottom w:val="single" w:sz="4" w:space="0" w:color="auto"/>
              <w:right w:val="single" w:sz="4" w:space="0" w:color="auto"/>
            </w:tcBorders>
            <w:shd w:val="clear" w:color="000000" w:fill="B4C6E7"/>
            <w:vAlign w:val="center"/>
            <w:hideMark/>
          </w:tcPr>
          <w:p w14:paraId="68F3E14F"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188</w:t>
            </w:r>
          </w:p>
        </w:tc>
        <w:tc>
          <w:tcPr>
            <w:tcW w:w="689" w:type="dxa"/>
            <w:tcBorders>
              <w:top w:val="nil"/>
              <w:left w:val="nil"/>
              <w:bottom w:val="single" w:sz="4" w:space="0" w:color="auto"/>
              <w:right w:val="single" w:sz="4" w:space="0" w:color="auto"/>
            </w:tcBorders>
            <w:shd w:val="clear" w:color="000000" w:fill="DDEBF7"/>
            <w:vAlign w:val="center"/>
            <w:hideMark/>
          </w:tcPr>
          <w:p w14:paraId="6F178D88"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94</w:t>
            </w:r>
          </w:p>
        </w:tc>
        <w:tc>
          <w:tcPr>
            <w:tcW w:w="490" w:type="dxa"/>
            <w:tcBorders>
              <w:top w:val="nil"/>
              <w:left w:val="nil"/>
              <w:bottom w:val="single" w:sz="4" w:space="0" w:color="auto"/>
              <w:right w:val="single" w:sz="4" w:space="0" w:color="auto"/>
            </w:tcBorders>
            <w:shd w:val="clear" w:color="000000" w:fill="92D050"/>
            <w:vAlign w:val="center"/>
            <w:hideMark/>
          </w:tcPr>
          <w:p w14:paraId="759D8194"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376</w:t>
            </w:r>
          </w:p>
        </w:tc>
        <w:tc>
          <w:tcPr>
            <w:tcW w:w="522" w:type="dxa"/>
            <w:tcBorders>
              <w:top w:val="nil"/>
              <w:left w:val="nil"/>
              <w:bottom w:val="single" w:sz="4" w:space="0" w:color="auto"/>
              <w:right w:val="single" w:sz="4" w:space="0" w:color="auto"/>
            </w:tcBorders>
            <w:shd w:val="clear" w:color="000000" w:fill="00B050"/>
            <w:vAlign w:val="center"/>
            <w:hideMark/>
          </w:tcPr>
          <w:p w14:paraId="36810F9D"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282</w:t>
            </w:r>
          </w:p>
        </w:tc>
        <w:tc>
          <w:tcPr>
            <w:tcW w:w="560" w:type="dxa"/>
            <w:tcBorders>
              <w:top w:val="nil"/>
              <w:left w:val="nil"/>
              <w:bottom w:val="single" w:sz="4" w:space="0" w:color="auto"/>
              <w:right w:val="single" w:sz="4" w:space="0" w:color="auto"/>
            </w:tcBorders>
            <w:shd w:val="clear" w:color="000000" w:fill="D9D9D9"/>
            <w:vAlign w:val="center"/>
            <w:hideMark/>
          </w:tcPr>
          <w:p w14:paraId="1040D5D3"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81</w:t>
            </w:r>
          </w:p>
        </w:tc>
        <w:tc>
          <w:tcPr>
            <w:tcW w:w="560" w:type="dxa"/>
            <w:tcBorders>
              <w:top w:val="nil"/>
              <w:left w:val="nil"/>
              <w:bottom w:val="single" w:sz="4" w:space="0" w:color="auto"/>
              <w:right w:val="single" w:sz="4" w:space="0" w:color="auto"/>
            </w:tcBorders>
            <w:shd w:val="clear" w:color="000000" w:fill="D9D9D9"/>
            <w:vAlign w:val="center"/>
            <w:hideMark/>
          </w:tcPr>
          <w:p w14:paraId="2257C6B0"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68</w:t>
            </w:r>
          </w:p>
        </w:tc>
        <w:tc>
          <w:tcPr>
            <w:tcW w:w="560" w:type="dxa"/>
            <w:tcBorders>
              <w:top w:val="nil"/>
              <w:left w:val="nil"/>
              <w:bottom w:val="single" w:sz="4" w:space="0" w:color="auto"/>
              <w:right w:val="single" w:sz="4" w:space="0" w:color="auto"/>
            </w:tcBorders>
            <w:shd w:val="clear" w:color="000000" w:fill="D9D9D9"/>
            <w:vAlign w:val="center"/>
            <w:hideMark/>
          </w:tcPr>
          <w:p w14:paraId="1C6E08E9"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54</w:t>
            </w:r>
          </w:p>
        </w:tc>
        <w:tc>
          <w:tcPr>
            <w:tcW w:w="560" w:type="dxa"/>
            <w:tcBorders>
              <w:top w:val="nil"/>
              <w:left w:val="nil"/>
              <w:bottom w:val="single" w:sz="4" w:space="0" w:color="auto"/>
              <w:right w:val="single" w:sz="4" w:space="0" w:color="auto"/>
            </w:tcBorders>
            <w:shd w:val="clear" w:color="000000" w:fill="D9D9D9"/>
            <w:vAlign w:val="center"/>
            <w:hideMark/>
          </w:tcPr>
          <w:p w14:paraId="4458843F"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41</w:t>
            </w:r>
          </w:p>
        </w:tc>
        <w:tc>
          <w:tcPr>
            <w:tcW w:w="560" w:type="dxa"/>
            <w:tcBorders>
              <w:top w:val="nil"/>
              <w:left w:val="nil"/>
              <w:bottom w:val="single" w:sz="4" w:space="0" w:color="auto"/>
              <w:right w:val="single" w:sz="4" w:space="0" w:color="auto"/>
            </w:tcBorders>
            <w:shd w:val="clear" w:color="000000" w:fill="D9D9D9"/>
            <w:vAlign w:val="center"/>
            <w:hideMark/>
          </w:tcPr>
          <w:p w14:paraId="12D6482B"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27</w:t>
            </w:r>
          </w:p>
        </w:tc>
        <w:tc>
          <w:tcPr>
            <w:tcW w:w="560" w:type="dxa"/>
            <w:tcBorders>
              <w:top w:val="nil"/>
              <w:left w:val="nil"/>
              <w:bottom w:val="single" w:sz="4" w:space="0" w:color="auto"/>
              <w:right w:val="single" w:sz="4" w:space="0" w:color="auto"/>
            </w:tcBorders>
            <w:shd w:val="clear" w:color="000000" w:fill="D9D9D9"/>
            <w:vAlign w:val="center"/>
            <w:hideMark/>
          </w:tcPr>
          <w:p w14:paraId="419B66F3"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14</w:t>
            </w:r>
          </w:p>
        </w:tc>
      </w:tr>
      <w:tr w:rsidR="00621EF3" w:rsidRPr="00621EF3" w14:paraId="677E3AF1" w14:textId="77777777" w:rsidTr="00621EF3">
        <w:trPr>
          <w:trHeight w:val="240"/>
          <w:jc w:val="center"/>
        </w:trPr>
        <w:tc>
          <w:tcPr>
            <w:tcW w:w="592" w:type="dxa"/>
            <w:vMerge/>
            <w:tcBorders>
              <w:top w:val="nil"/>
              <w:left w:val="single" w:sz="4" w:space="0" w:color="auto"/>
              <w:bottom w:val="single" w:sz="4" w:space="0" w:color="auto"/>
              <w:right w:val="single" w:sz="4" w:space="0" w:color="auto"/>
            </w:tcBorders>
            <w:vAlign w:val="center"/>
            <w:hideMark/>
          </w:tcPr>
          <w:p w14:paraId="203B3EC9" w14:textId="77777777" w:rsidR="00621EF3" w:rsidRPr="00621EF3" w:rsidRDefault="00621EF3" w:rsidP="00621EF3">
            <w:pPr>
              <w:overflowPunct/>
              <w:autoSpaceDE/>
              <w:autoSpaceDN/>
              <w:adjustRightInd/>
              <w:spacing w:after="0"/>
              <w:textAlignment w:val="auto"/>
              <w:rPr>
                <w:rFonts w:ascii="Calibri" w:hAnsi="Calibri" w:cs="Calibri"/>
                <w:color w:val="000000"/>
                <w:sz w:val="18"/>
                <w:szCs w:val="18"/>
                <w:lang w:val="en-US" w:eastAsia="en-US"/>
              </w:rPr>
            </w:pPr>
          </w:p>
        </w:tc>
        <w:tc>
          <w:tcPr>
            <w:tcW w:w="490" w:type="dxa"/>
            <w:tcBorders>
              <w:top w:val="nil"/>
              <w:left w:val="nil"/>
              <w:bottom w:val="single" w:sz="4" w:space="0" w:color="auto"/>
              <w:right w:val="single" w:sz="4" w:space="0" w:color="auto"/>
            </w:tcBorders>
            <w:shd w:val="clear" w:color="000000" w:fill="FFC000"/>
            <w:noWrap/>
            <w:vAlign w:val="center"/>
            <w:hideMark/>
          </w:tcPr>
          <w:p w14:paraId="1BE45B0C"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40</w:t>
            </w:r>
          </w:p>
        </w:tc>
        <w:tc>
          <w:tcPr>
            <w:tcW w:w="490" w:type="dxa"/>
            <w:tcBorders>
              <w:top w:val="nil"/>
              <w:left w:val="nil"/>
              <w:bottom w:val="single" w:sz="4" w:space="0" w:color="auto"/>
              <w:right w:val="single" w:sz="4" w:space="0" w:color="auto"/>
            </w:tcBorders>
            <w:shd w:val="clear" w:color="000000" w:fill="ED7D31"/>
            <w:noWrap/>
            <w:vAlign w:val="center"/>
            <w:hideMark/>
          </w:tcPr>
          <w:p w14:paraId="2285A46B"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80</w:t>
            </w:r>
          </w:p>
        </w:tc>
        <w:tc>
          <w:tcPr>
            <w:tcW w:w="536" w:type="dxa"/>
            <w:tcBorders>
              <w:top w:val="nil"/>
              <w:left w:val="nil"/>
              <w:bottom w:val="single" w:sz="4" w:space="0" w:color="auto"/>
              <w:right w:val="single" w:sz="4" w:space="0" w:color="auto"/>
            </w:tcBorders>
            <w:shd w:val="clear" w:color="000000" w:fill="F8CBAD"/>
            <w:noWrap/>
            <w:vAlign w:val="center"/>
            <w:hideMark/>
          </w:tcPr>
          <w:p w14:paraId="7C01542A"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60</w:t>
            </w:r>
          </w:p>
        </w:tc>
        <w:tc>
          <w:tcPr>
            <w:tcW w:w="528" w:type="dxa"/>
            <w:tcBorders>
              <w:top w:val="nil"/>
              <w:left w:val="nil"/>
              <w:bottom w:val="single" w:sz="4" w:space="0" w:color="auto"/>
              <w:right w:val="single" w:sz="4" w:space="0" w:color="auto"/>
            </w:tcBorders>
            <w:shd w:val="clear" w:color="000000" w:fill="B4C6E7"/>
            <w:vAlign w:val="center"/>
            <w:hideMark/>
          </w:tcPr>
          <w:p w14:paraId="5A06D168"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216</w:t>
            </w:r>
          </w:p>
        </w:tc>
        <w:tc>
          <w:tcPr>
            <w:tcW w:w="689" w:type="dxa"/>
            <w:tcBorders>
              <w:top w:val="nil"/>
              <w:left w:val="nil"/>
              <w:bottom w:val="single" w:sz="4" w:space="0" w:color="auto"/>
              <w:right w:val="single" w:sz="4" w:space="0" w:color="auto"/>
            </w:tcBorders>
            <w:shd w:val="clear" w:color="000000" w:fill="DDEBF7"/>
            <w:vAlign w:val="center"/>
            <w:hideMark/>
          </w:tcPr>
          <w:p w14:paraId="529C7040"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108</w:t>
            </w:r>
          </w:p>
        </w:tc>
        <w:tc>
          <w:tcPr>
            <w:tcW w:w="490" w:type="dxa"/>
            <w:tcBorders>
              <w:top w:val="nil"/>
              <w:left w:val="nil"/>
              <w:bottom w:val="single" w:sz="4" w:space="0" w:color="auto"/>
              <w:right w:val="single" w:sz="4" w:space="0" w:color="auto"/>
            </w:tcBorders>
            <w:shd w:val="clear" w:color="000000" w:fill="92D050"/>
            <w:vAlign w:val="center"/>
            <w:hideMark/>
          </w:tcPr>
          <w:p w14:paraId="568B2F8D"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432</w:t>
            </w:r>
          </w:p>
        </w:tc>
        <w:tc>
          <w:tcPr>
            <w:tcW w:w="522" w:type="dxa"/>
            <w:tcBorders>
              <w:top w:val="nil"/>
              <w:left w:val="nil"/>
              <w:bottom w:val="single" w:sz="4" w:space="0" w:color="auto"/>
              <w:right w:val="single" w:sz="4" w:space="0" w:color="auto"/>
            </w:tcBorders>
            <w:shd w:val="clear" w:color="000000" w:fill="92D050"/>
            <w:vAlign w:val="center"/>
            <w:hideMark/>
          </w:tcPr>
          <w:p w14:paraId="34AC0812"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324</w:t>
            </w:r>
          </w:p>
        </w:tc>
        <w:tc>
          <w:tcPr>
            <w:tcW w:w="560" w:type="dxa"/>
            <w:tcBorders>
              <w:top w:val="nil"/>
              <w:left w:val="nil"/>
              <w:bottom w:val="single" w:sz="4" w:space="0" w:color="auto"/>
              <w:right w:val="single" w:sz="4" w:space="0" w:color="auto"/>
            </w:tcBorders>
            <w:shd w:val="clear" w:color="000000" w:fill="D9D9D9"/>
            <w:vAlign w:val="center"/>
            <w:hideMark/>
          </w:tcPr>
          <w:p w14:paraId="46BE57D5"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93</w:t>
            </w:r>
          </w:p>
        </w:tc>
        <w:tc>
          <w:tcPr>
            <w:tcW w:w="560" w:type="dxa"/>
            <w:tcBorders>
              <w:top w:val="nil"/>
              <w:left w:val="nil"/>
              <w:bottom w:val="single" w:sz="4" w:space="0" w:color="auto"/>
              <w:right w:val="single" w:sz="4" w:space="0" w:color="auto"/>
            </w:tcBorders>
            <w:shd w:val="clear" w:color="000000" w:fill="D9D9D9"/>
            <w:vAlign w:val="center"/>
            <w:hideMark/>
          </w:tcPr>
          <w:p w14:paraId="0F3C5030"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78</w:t>
            </w:r>
          </w:p>
        </w:tc>
        <w:tc>
          <w:tcPr>
            <w:tcW w:w="560" w:type="dxa"/>
            <w:tcBorders>
              <w:top w:val="nil"/>
              <w:left w:val="nil"/>
              <w:bottom w:val="single" w:sz="4" w:space="0" w:color="auto"/>
              <w:right w:val="single" w:sz="4" w:space="0" w:color="auto"/>
            </w:tcBorders>
            <w:shd w:val="clear" w:color="000000" w:fill="D9D9D9"/>
            <w:vAlign w:val="center"/>
            <w:hideMark/>
          </w:tcPr>
          <w:p w14:paraId="17DCF1B2"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62</w:t>
            </w:r>
          </w:p>
        </w:tc>
        <w:tc>
          <w:tcPr>
            <w:tcW w:w="560" w:type="dxa"/>
            <w:tcBorders>
              <w:top w:val="nil"/>
              <w:left w:val="nil"/>
              <w:bottom w:val="single" w:sz="4" w:space="0" w:color="auto"/>
              <w:right w:val="single" w:sz="4" w:space="0" w:color="auto"/>
            </w:tcBorders>
            <w:shd w:val="clear" w:color="000000" w:fill="D9D9D9"/>
            <w:vAlign w:val="center"/>
            <w:hideMark/>
          </w:tcPr>
          <w:p w14:paraId="1230EC3E"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47</w:t>
            </w:r>
          </w:p>
        </w:tc>
        <w:tc>
          <w:tcPr>
            <w:tcW w:w="560" w:type="dxa"/>
            <w:tcBorders>
              <w:top w:val="nil"/>
              <w:left w:val="nil"/>
              <w:bottom w:val="single" w:sz="4" w:space="0" w:color="auto"/>
              <w:right w:val="single" w:sz="4" w:space="0" w:color="auto"/>
            </w:tcBorders>
            <w:shd w:val="clear" w:color="000000" w:fill="D9D9D9"/>
            <w:vAlign w:val="center"/>
            <w:hideMark/>
          </w:tcPr>
          <w:p w14:paraId="79E3D14C"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31</w:t>
            </w:r>
          </w:p>
        </w:tc>
        <w:tc>
          <w:tcPr>
            <w:tcW w:w="560" w:type="dxa"/>
            <w:tcBorders>
              <w:top w:val="nil"/>
              <w:left w:val="nil"/>
              <w:bottom w:val="single" w:sz="4" w:space="0" w:color="auto"/>
              <w:right w:val="single" w:sz="4" w:space="0" w:color="auto"/>
            </w:tcBorders>
            <w:shd w:val="clear" w:color="000000" w:fill="D9D9D9"/>
            <w:vAlign w:val="center"/>
            <w:hideMark/>
          </w:tcPr>
          <w:p w14:paraId="33E15B74"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16</w:t>
            </w:r>
          </w:p>
        </w:tc>
      </w:tr>
      <w:tr w:rsidR="00621EF3" w:rsidRPr="00621EF3" w14:paraId="136C72DD" w14:textId="77777777" w:rsidTr="00621EF3">
        <w:trPr>
          <w:trHeight w:val="240"/>
          <w:jc w:val="center"/>
        </w:trPr>
        <w:tc>
          <w:tcPr>
            <w:tcW w:w="592" w:type="dxa"/>
            <w:vMerge/>
            <w:tcBorders>
              <w:top w:val="nil"/>
              <w:left w:val="single" w:sz="4" w:space="0" w:color="auto"/>
              <w:bottom w:val="single" w:sz="4" w:space="0" w:color="auto"/>
              <w:right w:val="single" w:sz="4" w:space="0" w:color="auto"/>
            </w:tcBorders>
            <w:vAlign w:val="center"/>
            <w:hideMark/>
          </w:tcPr>
          <w:p w14:paraId="70A82C87" w14:textId="77777777" w:rsidR="00621EF3" w:rsidRPr="00621EF3" w:rsidRDefault="00621EF3" w:rsidP="00621EF3">
            <w:pPr>
              <w:overflowPunct/>
              <w:autoSpaceDE/>
              <w:autoSpaceDN/>
              <w:adjustRightInd/>
              <w:spacing w:after="0"/>
              <w:textAlignment w:val="auto"/>
              <w:rPr>
                <w:rFonts w:ascii="Calibri" w:hAnsi="Calibri" w:cs="Calibri"/>
                <w:color w:val="000000"/>
                <w:sz w:val="18"/>
                <w:szCs w:val="18"/>
                <w:lang w:val="en-US" w:eastAsia="en-US"/>
              </w:rPr>
            </w:pPr>
          </w:p>
        </w:tc>
        <w:tc>
          <w:tcPr>
            <w:tcW w:w="490" w:type="dxa"/>
            <w:tcBorders>
              <w:top w:val="nil"/>
              <w:left w:val="nil"/>
              <w:bottom w:val="single" w:sz="4" w:space="0" w:color="auto"/>
              <w:right w:val="single" w:sz="4" w:space="0" w:color="auto"/>
            </w:tcBorders>
            <w:shd w:val="clear" w:color="000000" w:fill="BF8F00"/>
            <w:noWrap/>
            <w:vAlign w:val="center"/>
            <w:hideMark/>
          </w:tcPr>
          <w:p w14:paraId="7EC13658"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45</w:t>
            </w:r>
          </w:p>
        </w:tc>
        <w:tc>
          <w:tcPr>
            <w:tcW w:w="490" w:type="dxa"/>
            <w:tcBorders>
              <w:top w:val="nil"/>
              <w:left w:val="nil"/>
              <w:bottom w:val="single" w:sz="4" w:space="0" w:color="auto"/>
              <w:right w:val="single" w:sz="4" w:space="0" w:color="auto"/>
            </w:tcBorders>
            <w:shd w:val="clear" w:color="000000" w:fill="C65911"/>
            <w:noWrap/>
            <w:vAlign w:val="center"/>
            <w:hideMark/>
          </w:tcPr>
          <w:p w14:paraId="554EBF2F"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90</w:t>
            </w:r>
          </w:p>
        </w:tc>
        <w:tc>
          <w:tcPr>
            <w:tcW w:w="536" w:type="dxa"/>
            <w:tcBorders>
              <w:top w:val="nil"/>
              <w:left w:val="nil"/>
              <w:bottom w:val="single" w:sz="4" w:space="0" w:color="auto"/>
              <w:right w:val="single" w:sz="4" w:space="0" w:color="auto"/>
            </w:tcBorders>
            <w:shd w:val="clear" w:color="000000" w:fill="F4B084"/>
            <w:noWrap/>
            <w:vAlign w:val="center"/>
            <w:hideMark/>
          </w:tcPr>
          <w:p w14:paraId="49095999"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67.5</w:t>
            </w:r>
          </w:p>
        </w:tc>
        <w:tc>
          <w:tcPr>
            <w:tcW w:w="528" w:type="dxa"/>
            <w:tcBorders>
              <w:top w:val="nil"/>
              <w:left w:val="nil"/>
              <w:bottom w:val="single" w:sz="4" w:space="0" w:color="auto"/>
              <w:right w:val="single" w:sz="4" w:space="0" w:color="auto"/>
            </w:tcBorders>
            <w:shd w:val="clear" w:color="000000" w:fill="B4C6E7"/>
            <w:vAlign w:val="center"/>
            <w:hideMark/>
          </w:tcPr>
          <w:p w14:paraId="06BF0F2A"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242</w:t>
            </w:r>
          </w:p>
        </w:tc>
        <w:tc>
          <w:tcPr>
            <w:tcW w:w="689" w:type="dxa"/>
            <w:tcBorders>
              <w:top w:val="nil"/>
              <w:left w:val="nil"/>
              <w:bottom w:val="single" w:sz="4" w:space="0" w:color="auto"/>
              <w:right w:val="single" w:sz="4" w:space="0" w:color="auto"/>
            </w:tcBorders>
            <w:shd w:val="clear" w:color="000000" w:fill="DDEBF7"/>
            <w:vAlign w:val="center"/>
            <w:hideMark/>
          </w:tcPr>
          <w:p w14:paraId="6AB563CB"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121</w:t>
            </w:r>
          </w:p>
        </w:tc>
        <w:tc>
          <w:tcPr>
            <w:tcW w:w="490" w:type="dxa"/>
            <w:tcBorders>
              <w:top w:val="nil"/>
              <w:left w:val="nil"/>
              <w:bottom w:val="single" w:sz="4" w:space="0" w:color="auto"/>
              <w:right w:val="single" w:sz="4" w:space="0" w:color="auto"/>
            </w:tcBorders>
            <w:shd w:val="clear" w:color="000000" w:fill="00B050"/>
            <w:vAlign w:val="center"/>
            <w:hideMark/>
          </w:tcPr>
          <w:p w14:paraId="4BC26306"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484</w:t>
            </w:r>
          </w:p>
        </w:tc>
        <w:tc>
          <w:tcPr>
            <w:tcW w:w="522" w:type="dxa"/>
            <w:tcBorders>
              <w:top w:val="nil"/>
              <w:left w:val="nil"/>
              <w:bottom w:val="single" w:sz="4" w:space="0" w:color="auto"/>
              <w:right w:val="single" w:sz="4" w:space="0" w:color="auto"/>
            </w:tcBorders>
            <w:shd w:val="clear" w:color="000000" w:fill="00B050"/>
            <w:vAlign w:val="center"/>
            <w:hideMark/>
          </w:tcPr>
          <w:p w14:paraId="7B5DB5D1"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363</w:t>
            </w:r>
          </w:p>
        </w:tc>
        <w:tc>
          <w:tcPr>
            <w:tcW w:w="560" w:type="dxa"/>
            <w:tcBorders>
              <w:top w:val="nil"/>
              <w:left w:val="nil"/>
              <w:bottom w:val="single" w:sz="4" w:space="0" w:color="auto"/>
              <w:right w:val="single" w:sz="4" w:space="0" w:color="auto"/>
            </w:tcBorders>
            <w:shd w:val="clear" w:color="000000" w:fill="D9D9D9"/>
            <w:vAlign w:val="center"/>
            <w:hideMark/>
          </w:tcPr>
          <w:p w14:paraId="55150E8E"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104</w:t>
            </w:r>
          </w:p>
        </w:tc>
        <w:tc>
          <w:tcPr>
            <w:tcW w:w="560" w:type="dxa"/>
            <w:tcBorders>
              <w:top w:val="nil"/>
              <w:left w:val="nil"/>
              <w:bottom w:val="single" w:sz="4" w:space="0" w:color="auto"/>
              <w:right w:val="single" w:sz="4" w:space="0" w:color="auto"/>
            </w:tcBorders>
            <w:shd w:val="clear" w:color="000000" w:fill="D9D9D9"/>
            <w:vAlign w:val="center"/>
            <w:hideMark/>
          </w:tcPr>
          <w:p w14:paraId="23DC52B3"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87</w:t>
            </w:r>
          </w:p>
        </w:tc>
        <w:tc>
          <w:tcPr>
            <w:tcW w:w="560" w:type="dxa"/>
            <w:tcBorders>
              <w:top w:val="nil"/>
              <w:left w:val="nil"/>
              <w:bottom w:val="single" w:sz="4" w:space="0" w:color="auto"/>
              <w:right w:val="single" w:sz="4" w:space="0" w:color="auto"/>
            </w:tcBorders>
            <w:shd w:val="clear" w:color="000000" w:fill="D9D9D9"/>
            <w:vAlign w:val="center"/>
            <w:hideMark/>
          </w:tcPr>
          <w:p w14:paraId="565D7332"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70</w:t>
            </w:r>
          </w:p>
        </w:tc>
        <w:tc>
          <w:tcPr>
            <w:tcW w:w="560" w:type="dxa"/>
            <w:tcBorders>
              <w:top w:val="nil"/>
              <w:left w:val="nil"/>
              <w:bottom w:val="single" w:sz="4" w:space="0" w:color="auto"/>
              <w:right w:val="single" w:sz="4" w:space="0" w:color="auto"/>
            </w:tcBorders>
            <w:shd w:val="clear" w:color="000000" w:fill="D9D9D9"/>
            <w:vAlign w:val="center"/>
            <w:hideMark/>
          </w:tcPr>
          <w:p w14:paraId="5A191AA8"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52</w:t>
            </w:r>
          </w:p>
        </w:tc>
        <w:tc>
          <w:tcPr>
            <w:tcW w:w="560" w:type="dxa"/>
            <w:tcBorders>
              <w:top w:val="nil"/>
              <w:left w:val="nil"/>
              <w:bottom w:val="single" w:sz="4" w:space="0" w:color="auto"/>
              <w:right w:val="single" w:sz="4" w:space="0" w:color="auto"/>
            </w:tcBorders>
            <w:shd w:val="clear" w:color="000000" w:fill="D9D9D9"/>
            <w:vAlign w:val="center"/>
            <w:hideMark/>
          </w:tcPr>
          <w:p w14:paraId="1020828A"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35</w:t>
            </w:r>
          </w:p>
        </w:tc>
        <w:tc>
          <w:tcPr>
            <w:tcW w:w="560" w:type="dxa"/>
            <w:tcBorders>
              <w:top w:val="nil"/>
              <w:left w:val="nil"/>
              <w:bottom w:val="single" w:sz="4" w:space="0" w:color="auto"/>
              <w:right w:val="single" w:sz="4" w:space="0" w:color="auto"/>
            </w:tcBorders>
            <w:shd w:val="clear" w:color="000000" w:fill="D9D9D9"/>
            <w:vAlign w:val="center"/>
            <w:hideMark/>
          </w:tcPr>
          <w:p w14:paraId="4A3CA400"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18</w:t>
            </w:r>
          </w:p>
        </w:tc>
      </w:tr>
      <w:tr w:rsidR="00621EF3" w:rsidRPr="00621EF3" w14:paraId="59C8E924" w14:textId="77777777" w:rsidTr="00621EF3">
        <w:trPr>
          <w:trHeight w:val="240"/>
          <w:jc w:val="center"/>
        </w:trPr>
        <w:tc>
          <w:tcPr>
            <w:tcW w:w="592" w:type="dxa"/>
            <w:vMerge/>
            <w:tcBorders>
              <w:top w:val="nil"/>
              <w:left w:val="single" w:sz="4" w:space="0" w:color="auto"/>
              <w:bottom w:val="single" w:sz="4" w:space="0" w:color="auto"/>
              <w:right w:val="single" w:sz="4" w:space="0" w:color="auto"/>
            </w:tcBorders>
            <w:vAlign w:val="center"/>
            <w:hideMark/>
          </w:tcPr>
          <w:p w14:paraId="427F3A1D" w14:textId="77777777" w:rsidR="00621EF3" w:rsidRPr="00621EF3" w:rsidRDefault="00621EF3" w:rsidP="00621EF3">
            <w:pPr>
              <w:overflowPunct/>
              <w:autoSpaceDE/>
              <w:autoSpaceDN/>
              <w:adjustRightInd/>
              <w:spacing w:after="0"/>
              <w:textAlignment w:val="auto"/>
              <w:rPr>
                <w:rFonts w:ascii="Calibri" w:hAnsi="Calibri" w:cs="Calibri"/>
                <w:color w:val="000000"/>
                <w:sz w:val="18"/>
                <w:szCs w:val="18"/>
                <w:lang w:val="en-US" w:eastAsia="en-US"/>
              </w:rPr>
            </w:pPr>
          </w:p>
        </w:tc>
        <w:tc>
          <w:tcPr>
            <w:tcW w:w="490" w:type="dxa"/>
            <w:tcBorders>
              <w:top w:val="nil"/>
              <w:left w:val="nil"/>
              <w:bottom w:val="single" w:sz="4" w:space="0" w:color="auto"/>
              <w:right w:val="single" w:sz="4" w:space="0" w:color="auto"/>
            </w:tcBorders>
            <w:shd w:val="clear" w:color="000000" w:fill="806000"/>
            <w:noWrap/>
            <w:vAlign w:val="center"/>
            <w:hideMark/>
          </w:tcPr>
          <w:p w14:paraId="25E53C5C" w14:textId="77777777" w:rsidR="00621EF3" w:rsidRPr="00621EF3" w:rsidRDefault="00621EF3" w:rsidP="00621EF3">
            <w:pPr>
              <w:overflowPunct/>
              <w:autoSpaceDE/>
              <w:autoSpaceDN/>
              <w:adjustRightInd/>
              <w:spacing w:after="0"/>
              <w:jc w:val="center"/>
              <w:textAlignment w:val="auto"/>
              <w:rPr>
                <w:rFonts w:ascii="Calibri" w:hAnsi="Calibri" w:cs="Calibri"/>
                <w:b/>
                <w:bCs/>
                <w:color w:val="000000"/>
                <w:sz w:val="18"/>
                <w:szCs w:val="18"/>
                <w:lang w:val="en-US" w:eastAsia="en-US"/>
              </w:rPr>
            </w:pPr>
            <w:r w:rsidRPr="00621EF3">
              <w:rPr>
                <w:rFonts w:ascii="Calibri" w:hAnsi="Calibri" w:cs="Calibri"/>
                <w:b/>
                <w:bCs/>
                <w:color w:val="000000"/>
                <w:sz w:val="18"/>
                <w:szCs w:val="18"/>
                <w:lang w:val="en-US" w:eastAsia="en-US"/>
              </w:rPr>
              <w:t>50</w:t>
            </w:r>
          </w:p>
        </w:tc>
        <w:tc>
          <w:tcPr>
            <w:tcW w:w="490" w:type="dxa"/>
            <w:tcBorders>
              <w:top w:val="nil"/>
              <w:left w:val="nil"/>
              <w:bottom w:val="single" w:sz="4" w:space="0" w:color="auto"/>
              <w:right w:val="single" w:sz="4" w:space="0" w:color="auto"/>
            </w:tcBorders>
            <w:shd w:val="clear" w:color="000000" w:fill="833C0C"/>
            <w:noWrap/>
            <w:vAlign w:val="center"/>
            <w:hideMark/>
          </w:tcPr>
          <w:p w14:paraId="66495662" w14:textId="77777777" w:rsidR="00621EF3" w:rsidRPr="00621EF3" w:rsidRDefault="00621EF3" w:rsidP="00621EF3">
            <w:pPr>
              <w:overflowPunct/>
              <w:autoSpaceDE/>
              <w:autoSpaceDN/>
              <w:adjustRightInd/>
              <w:spacing w:after="0"/>
              <w:jc w:val="center"/>
              <w:textAlignment w:val="auto"/>
              <w:rPr>
                <w:rFonts w:ascii="Calibri" w:hAnsi="Calibri" w:cs="Calibri"/>
                <w:b/>
                <w:bCs/>
                <w:color w:val="000000"/>
                <w:sz w:val="18"/>
                <w:szCs w:val="18"/>
                <w:lang w:val="en-US" w:eastAsia="en-US"/>
              </w:rPr>
            </w:pPr>
            <w:r w:rsidRPr="00621EF3">
              <w:rPr>
                <w:rFonts w:ascii="Calibri" w:hAnsi="Calibri" w:cs="Calibri"/>
                <w:b/>
                <w:bCs/>
                <w:color w:val="000000"/>
                <w:sz w:val="18"/>
                <w:szCs w:val="18"/>
                <w:lang w:val="en-US" w:eastAsia="en-US"/>
              </w:rPr>
              <w:t>100</w:t>
            </w:r>
          </w:p>
        </w:tc>
        <w:tc>
          <w:tcPr>
            <w:tcW w:w="536" w:type="dxa"/>
            <w:tcBorders>
              <w:top w:val="nil"/>
              <w:left w:val="nil"/>
              <w:bottom w:val="single" w:sz="4" w:space="0" w:color="auto"/>
              <w:right w:val="single" w:sz="4" w:space="0" w:color="auto"/>
            </w:tcBorders>
            <w:shd w:val="clear" w:color="000000" w:fill="ED7D31"/>
            <w:noWrap/>
            <w:vAlign w:val="center"/>
            <w:hideMark/>
          </w:tcPr>
          <w:p w14:paraId="2683D9F3" w14:textId="77777777" w:rsidR="00621EF3" w:rsidRPr="00621EF3" w:rsidRDefault="00621EF3" w:rsidP="00621EF3">
            <w:pPr>
              <w:overflowPunct/>
              <w:autoSpaceDE/>
              <w:autoSpaceDN/>
              <w:adjustRightInd/>
              <w:spacing w:after="0"/>
              <w:jc w:val="center"/>
              <w:textAlignment w:val="auto"/>
              <w:rPr>
                <w:rFonts w:ascii="Calibri" w:hAnsi="Calibri" w:cs="Calibri"/>
                <w:b/>
                <w:bCs/>
                <w:color w:val="000000"/>
                <w:sz w:val="18"/>
                <w:szCs w:val="18"/>
                <w:lang w:val="en-US" w:eastAsia="en-US"/>
              </w:rPr>
            </w:pPr>
            <w:r w:rsidRPr="00621EF3">
              <w:rPr>
                <w:rFonts w:ascii="Calibri" w:hAnsi="Calibri" w:cs="Calibri"/>
                <w:b/>
                <w:bCs/>
                <w:color w:val="000000"/>
                <w:sz w:val="18"/>
                <w:szCs w:val="18"/>
                <w:lang w:val="en-US" w:eastAsia="en-US"/>
              </w:rPr>
              <w:t>75</w:t>
            </w:r>
          </w:p>
        </w:tc>
        <w:tc>
          <w:tcPr>
            <w:tcW w:w="528" w:type="dxa"/>
            <w:tcBorders>
              <w:top w:val="nil"/>
              <w:left w:val="nil"/>
              <w:bottom w:val="single" w:sz="4" w:space="0" w:color="auto"/>
              <w:right w:val="single" w:sz="4" w:space="0" w:color="auto"/>
            </w:tcBorders>
            <w:shd w:val="clear" w:color="000000" w:fill="B4C6E7"/>
            <w:vAlign w:val="center"/>
            <w:hideMark/>
          </w:tcPr>
          <w:p w14:paraId="2B4D0BC8" w14:textId="77777777" w:rsidR="00621EF3" w:rsidRPr="00621EF3" w:rsidRDefault="00621EF3" w:rsidP="00621EF3">
            <w:pPr>
              <w:overflowPunct/>
              <w:autoSpaceDE/>
              <w:autoSpaceDN/>
              <w:adjustRightInd/>
              <w:spacing w:after="0"/>
              <w:jc w:val="center"/>
              <w:textAlignment w:val="auto"/>
              <w:rPr>
                <w:rFonts w:ascii="Calibri" w:hAnsi="Calibri" w:cs="Calibri"/>
                <w:b/>
                <w:bCs/>
                <w:color w:val="000000"/>
                <w:sz w:val="18"/>
                <w:szCs w:val="18"/>
                <w:lang w:val="en-US" w:eastAsia="en-US"/>
              </w:rPr>
            </w:pPr>
            <w:r w:rsidRPr="00621EF3">
              <w:rPr>
                <w:rFonts w:ascii="Calibri" w:hAnsi="Calibri" w:cs="Calibri"/>
                <w:b/>
                <w:bCs/>
                <w:color w:val="000000"/>
                <w:sz w:val="18"/>
                <w:szCs w:val="18"/>
                <w:lang w:val="en-US" w:eastAsia="en-US"/>
              </w:rPr>
              <w:t>270</w:t>
            </w:r>
          </w:p>
        </w:tc>
        <w:tc>
          <w:tcPr>
            <w:tcW w:w="689" w:type="dxa"/>
            <w:tcBorders>
              <w:top w:val="nil"/>
              <w:left w:val="nil"/>
              <w:bottom w:val="single" w:sz="4" w:space="0" w:color="auto"/>
              <w:right w:val="single" w:sz="4" w:space="0" w:color="auto"/>
            </w:tcBorders>
            <w:shd w:val="clear" w:color="000000" w:fill="DDEBF7"/>
            <w:vAlign w:val="center"/>
            <w:hideMark/>
          </w:tcPr>
          <w:p w14:paraId="45C9BC97" w14:textId="77777777" w:rsidR="00621EF3" w:rsidRPr="00621EF3" w:rsidRDefault="00621EF3" w:rsidP="00621EF3">
            <w:pPr>
              <w:overflowPunct/>
              <w:autoSpaceDE/>
              <w:autoSpaceDN/>
              <w:adjustRightInd/>
              <w:spacing w:after="0"/>
              <w:jc w:val="center"/>
              <w:textAlignment w:val="auto"/>
              <w:rPr>
                <w:rFonts w:ascii="Calibri" w:hAnsi="Calibri" w:cs="Calibri"/>
                <w:b/>
                <w:bCs/>
                <w:color w:val="000000"/>
                <w:sz w:val="18"/>
                <w:szCs w:val="18"/>
                <w:lang w:val="en-US" w:eastAsia="en-US"/>
              </w:rPr>
            </w:pPr>
            <w:r w:rsidRPr="00621EF3">
              <w:rPr>
                <w:rFonts w:ascii="Calibri" w:hAnsi="Calibri" w:cs="Calibri"/>
                <w:b/>
                <w:bCs/>
                <w:color w:val="000000"/>
                <w:sz w:val="18"/>
                <w:szCs w:val="18"/>
                <w:lang w:val="en-US" w:eastAsia="en-US"/>
              </w:rPr>
              <w:t>135</w:t>
            </w:r>
          </w:p>
        </w:tc>
        <w:tc>
          <w:tcPr>
            <w:tcW w:w="490" w:type="dxa"/>
            <w:tcBorders>
              <w:top w:val="nil"/>
              <w:left w:val="nil"/>
              <w:bottom w:val="single" w:sz="4" w:space="0" w:color="auto"/>
              <w:right w:val="single" w:sz="4" w:space="0" w:color="auto"/>
            </w:tcBorders>
            <w:shd w:val="clear" w:color="000000" w:fill="00B050"/>
            <w:vAlign w:val="center"/>
            <w:hideMark/>
          </w:tcPr>
          <w:p w14:paraId="6754CAE3" w14:textId="77777777" w:rsidR="00621EF3" w:rsidRPr="00621EF3" w:rsidRDefault="00621EF3" w:rsidP="00621EF3">
            <w:pPr>
              <w:overflowPunct/>
              <w:autoSpaceDE/>
              <w:autoSpaceDN/>
              <w:adjustRightInd/>
              <w:spacing w:after="0"/>
              <w:jc w:val="center"/>
              <w:textAlignment w:val="auto"/>
              <w:rPr>
                <w:rFonts w:ascii="Calibri" w:hAnsi="Calibri" w:cs="Calibri"/>
                <w:b/>
                <w:bCs/>
                <w:color w:val="000000"/>
                <w:sz w:val="18"/>
                <w:szCs w:val="18"/>
                <w:lang w:val="en-US" w:eastAsia="en-US"/>
              </w:rPr>
            </w:pPr>
            <w:r w:rsidRPr="00621EF3">
              <w:rPr>
                <w:rFonts w:ascii="Calibri" w:hAnsi="Calibri" w:cs="Calibri"/>
                <w:b/>
                <w:bCs/>
                <w:color w:val="000000"/>
                <w:sz w:val="18"/>
                <w:szCs w:val="18"/>
                <w:lang w:val="en-US" w:eastAsia="en-US"/>
              </w:rPr>
              <w:t>540</w:t>
            </w:r>
          </w:p>
        </w:tc>
        <w:tc>
          <w:tcPr>
            <w:tcW w:w="522" w:type="dxa"/>
            <w:tcBorders>
              <w:top w:val="nil"/>
              <w:left w:val="nil"/>
              <w:bottom w:val="single" w:sz="4" w:space="0" w:color="auto"/>
              <w:right w:val="single" w:sz="4" w:space="0" w:color="auto"/>
            </w:tcBorders>
            <w:shd w:val="clear" w:color="000000" w:fill="00B050"/>
            <w:vAlign w:val="center"/>
            <w:hideMark/>
          </w:tcPr>
          <w:p w14:paraId="3AF86518" w14:textId="77777777" w:rsidR="00621EF3" w:rsidRPr="00621EF3" w:rsidRDefault="00621EF3" w:rsidP="00621EF3">
            <w:pPr>
              <w:overflowPunct/>
              <w:autoSpaceDE/>
              <w:autoSpaceDN/>
              <w:adjustRightInd/>
              <w:spacing w:after="0"/>
              <w:jc w:val="center"/>
              <w:textAlignment w:val="auto"/>
              <w:rPr>
                <w:rFonts w:ascii="Calibri" w:hAnsi="Calibri" w:cs="Calibri"/>
                <w:b/>
                <w:bCs/>
                <w:color w:val="000000"/>
                <w:sz w:val="18"/>
                <w:szCs w:val="18"/>
                <w:lang w:val="en-US" w:eastAsia="en-US"/>
              </w:rPr>
            </w:pPr>
            <w:r w:rsidRPr="00621EF3">
              <w:rPr>
                <w:rFonts w:ascii="Calibri" w:hAnsi="Calibri" w:cs="Calibri"/>
                <w:b/>
                <w:bCs/>
                <w:color w:val="000000"/>
                <w:sz w:val="18"/>
                <w:szCs w:val="18"/>
                <w:lang w:val="en-US" w:eastAsia="en-US"/>
              </w:rPr>
              <w:t>405</w:t>
            </w:r>
          </w:p>
        </w:tc>
        <w:tc>
          <w:tcPr>
            <w:tcW w:w="560" w:type="dxa"/>
            <w:tcBorders>
              <w:top w:val="nil"/>
              <w:left w:val="nil"/>
              <w:bottom w:val="single" w:sz="4" w:space="0" w:color="auto"/>
              <w:right w:val="single" w:sz="4" w:space="0" w:color="auto"/>
            </w:tcBorders>
            <w:shd w:val="clear" w:color="000000" w:fill="D9D9D9"/>
            <w:vAlign w:val="center"/>
            <w:hideMark/>
          </w:tcPr>
          <w:p w14:paraId="664B2282" w14:textId="77777777" w:rsidR="00621EF3" w:rsidRPr="00621EF3" w:rsidRDefault="00621EF3" w:rsidP="00621EF3">
            <w:pPr>
              <w:overflowPunct/>
              <w:autoSpaceDE/>
              <w:autoSpaceDN/>
              <w:adjustRightInd/>
              <w:spacing w:after="0"/>
              <w:jc w:val="center"/>
              <w:textAlignment w:val="auto"/>
              <w:rPr>
                <w:rFonts w:ascii="Calibri" w:hAnsi="Calibri" w:cs="Calibri"/>
                <w:b/>
                <w:bCs/>
                <w:color w:val="000000"/>
                <w:sz w:val="18"/>
                <w:szCs w:val="18"/>
                <w:lang w:val="en-US" w:eastAsia="en-US"/>
              </w:rPr>
            </w:pPr>
            <w:r w:rsidRPr="00621EF3">
              <w:rPr>
                <w:rFonts w:ascii="Calibri" w:hAnsi="Calibri" w:cs="Calibri"/>
                <w:b/>
                <w:bCs/>
                <w:color w:val="000000"/>
                <w:sz w:val="18"/>
                <w:szCs w:val="18"/>
                <w:lang w:val="en-US" w:eastAsia="en-US"/>
              </w:rPr>
              <w:t>116</w:t>
            </w:r>
          </w:p>
        </w:tc>
        <w:tc>
          <w:tcPr>
            <w:tcW w:w="560" w:type="dxa"/>
            <w:tcBorders>
              <w:top w:val="nil"/>
              <w:left w:val="nil"/>
              <w:bottom w:val="single" w:sz="4" w:space="0" w:color="auto"/>
              <w:right w:val="single" w:sz="4" w:space="0" w:color="auto"/>
            </w:tcBorders>
            <w:shd w:val="clear" w:color="000000" w:fill="D9D9D9"/>
            <w:vAlign w:val="center"/>
            <w:hideMark/>
          </w:tcPr>
          <w:p w14:paraId="6B77B86E" w14:textId="77777777" w:rsidR="00621EF3" w:rsidRPr="00621EF3" w:rsidRDefault="00621EF3" w:rsidP="00621EF3">
            <w:pPr>
              <w:overflowPunct/>
              <w:autoSpaceDE/>
              <w:autoSpaceDN/>
              <w:adjustRightInd/>
              <w:spacing w:after="0"/>
              <w:jc w:val="center"/>
              <w:textAlignment w:val="auto"/>
              <w:rPr>
                <w:rFonts w:ascii="Calibri" w:hAnsi="Calibri" w:cs="Calibri"/>
                <w:b/>
                <w:bCs/>
                <w:color w:val="000000"/>
                <w:sz w:val="18"/>
                <w:szCs w:val="18"/>
                <w:lang w:val="en-US" w:eastAsia="en-US"/>
              </w:rPr>
            </w:pPr>
            <w:r w:rsidRPr="00621EF3">
              <w:rPr>
                <w:rFonts w:ascii="Calibri" w:hAnsi="Calibri" w:cs="Calibri"/>
                <w:b/>
                <w:bCs/>
                <w:color w:val="000000"/>
                <w:sz w:val="18"/>
                <w:szCs w:val="18"/>
                <w:lang w:val="en-US" w:eastAsia="en-US"/>
              </w:rPr>
              <w:t>97</w:t>
            </w:r>
          </w:p>
        </w:tc>
        <w:tc>
          <w:tcPr>
            <w:tcW w:w="560" w:type="dxa"/>
            <w:tcBorders>
              <w:top w:val="nil"/>
              <w:left w:val="nil"/>
              <w:bottom w:val="single" w:sz="4" w:space="0" w:color="auto"/>
              <w:right w:val="single" w:sz="4" w:space="0" w:color="auto"/>
            </w:tcBorders>
            <w:shd w:val="clear" w:color="000000" w:fill="D9D9D9"/>
            <w:vAlign w:val="center"/>
            <w:hideMark/>
          </w:tcPr>
          <w:p w14:paraId="6AEB40AE" w14:textId="77777777" w:rsidR="00621EF3" w:rsidRPr="00621EF3" w:rsidRDefault="00621EF3" w:rsidP="00621EF3">
            <w:pPr>
              <w:overflowPunct/>
              <w:autoSpaceDE/>
              <w:autoSpaceDN/>
              <w:adjustRightInd/>
              <w:spacing w:after="0"/>
              <w:jc w:val="center"/>
              <w:textAlignment w:val="auto"/>
              <w:rPr>
                <w:rFonts w:ascii="Calibri" w:hAnsi="Calibri" w:cs="Calibri"/>
                <w:b/>
                <w:bCs/>
                <w:color w:val="000000"/>
                <w:sz w:val="18"/>
                <w:szCs w:val="18"/>
                <w:lang w:val="en-US" w:eastAsia="en-US"/>
              </w:rPr>
            </w:pPr>
            <w:r w:rsidRPr="00621EF3">
              <w:rPr>
                <w:rFonts w:ascii="Calibri" w:hAnsi="Calibri" w:cs="Calibri"/>
                <w:b/>
                <w:bCs/>
                <w:color w:val="000000"/>
                <w:sz w:val="18"/>
                <w:szCs w:val="18"/>
                <w:lang w:val="en-US" w:eastAsia="en-US"/>
              </w:rPr>
              <w:t>78</w:t>
            </w:r>
          </w:p>
        </w:tc>
        <w:tc>
          <w:tcPr>
            <w:tcW w:w="560" w:type="dxa"/>
            <w:tcBorders>
              <w:top w:val="nil"/>
              <w:left w:val="nil"/>
              <w:bottom w:val="single" w:sz="4" w:space="0" w:color="auto"/>
              <w:right w:val="single" w:sz="4" w:space="0" w:color="auto"/>
            </w:tcBorders>
            <w:shd w:val="clear" w:color="000000" w:fill="D9D9D9"/>
            <w:vAlign w:val="center"/>
            <w:hideMark/>
          </w:tcPr>
          <w:p w14:paraId="5E1D42A1" w14:textId="77777777" w:rsidR="00621EF3" w:rsidRPr="00621EF3" w:rsidRDefault="00621EF3" w:rsidP="00621EF3">
            <w:pPr>
              <w:overflowPunct/>
              <w:autoSpaceDE/>
              <w:autoSpaceDN/>
              <w:adjustRightInd/>
              <w:spacing w:after="0"/>
              <w:jc w:val="center"/>
              <w:textAlignment w:val="auto"/>
              <w:rPr>
                <w:rFonts w:ascii="Calibri" w:hAnsi="Calibri" w:cs="Calibri"/>
                <w:b/>
                <w:bCs/>
                <w:color w:val="000000"/>
                <w:sz w:val="18"/>
                <w:szCs w:val="18"/>
                <w:lang w:val="en-US" w:eastAsia="en-US"/>
              </w:rPr>
            </w:pPr>
            <w:r w:rsidRPr="00621EF3">
              <w:rPr>
                <w:rFonts w:ascii="Calibri" w:hAnsi="Calibri" w:cs="Calibri"/>
                <w:b/>
                <w:bCs/>
                <w:color w:val="000000"/>
                <w:sz w:val="18"/>
                <w:szCs w:val="18"/>
                <w:lang w:val="en-US" w:eastAsia="en-US"/>
              </w:rPr>
              <w:t>58</w:t>
            </w:r>
          </w:p>
        </w:tc>
        <w:tc>
          <w:tcPr>
            <w:tcW w:w="560" w:type="dxa"/>
            <w:tcBorders>
              <w:top w:val="nil"/>
              <w:left w:val="nil"/>
              <w:bottom w:val="single" w:sz="4" w:space="0" w:color="auto"/>
              <w:right w:val="single" w:sz="4" w:space="0" w:color="auto"/>
            </w:tcBorders>
            <w:shd w:val="clear" w:color="000000" w:fill="D9D9D9"/>
            <w:vAlign w:val="center"/>
            <w:hideMark/>
          </w:tcPr>
          <w:p w14:paraId="2391F83A" w14:textId="77777777" w:rsidR="00621EF3" w:rsidRPr="00621EF3" w:rsidRDefault="00621EF3" w:rsidP="00621EF3">
            <w:pPr>
              <w:overflowPunct/>
              <w:autoSpaceDE/>
              <w:autoSpaceDN/>
              <w:adjustRightInd/>
              <w:spacing w:after="0"/>
              <w:jc w:val="center"/>
              <w:textAlignment w:val="auto"/>
              <w:rPr>
                <w:rFonts w:ascii="Calibri" w:hAnsi="Calibri" w:cs="Calibri"/>
                <w:b/>
                <w:bCs/>
                <w:color w:val="000000"/>
                <w:sz w:val="18"/>
                <w:szCs w:val="18"/>
                <w:lang w:val="en-US" w:eastAsia="en-US"/>
              </w:rPr>
            </w:pPr>
            <w:r w:rsidRPr="00621EF3">
              <w:rPr>
                <w:rFonts w:ascii="Calibri" w:hAnsi="Calibri" w:cs="Calibri"/>
                <w:b/>
                <w:bCs/>
                <w:color w:val="000000"/>
                <w:sz w:val="18"/>
                <w:szCs w:val="18"/>
                <w:lang w:val="en-US" w:eastAsia="en-US"/>
              </w:rPr>
              <w:t>39</w:t>
            </w:r>
          </w:p>
        </w:tc>
        <w:tc>
          <w:tcPr>
            <w:tcW w:w="560" w:type="dxa"/>
            <w:tcBorders>
              <w:top w:val="nil"/>
              <w:left w:val="nil"/>
              <w:bottom w:val="single" w:sz="4" w:space="0" w:color="auto"/>
              <w:right w:val="single" w:sz="4" w:space="0" w:color="auto"/>
            </w:tcBorders>
            <w:shd w:val="clear" w:color="000000" w:fill="D9D9D9"/>
            <w:vAlign w:val="center"/>
            <w:hideMark/>
          </w:tcPr>
          <w:p w14:paraId="31EC8577" w14:textId="77777777" w:rsidR="00621EF3" w:rsidRPr="00621EF3" w:rsidRDefault="00621EF3" w:rsidP="00621EF3">
            <w:pPr>
              <w:overflowPunct/>
              <w:autoSpaceDE/>
              <w:autoSpaceDN/>
              <w:adjustRightInd/>
              <w:spacing w:after="0"/>
              <w:jc w:val="center"/>
              <w:textAlignment w:val="auto"/>
              <w:rPr>
                <w:rFonts w:ascii="Calibri" w:hAnsi="Calibri" w:cs="Calibri"/>
                <w:b/>
                <w:bCs/>
                <w:color w:val="000000"/>
                <w:sz w:val="18"/>
                <w:szCs w:val="18"/>
                <w:lang w:val="en-US" w:eastAsia="en-US"/>
              </w:rPr>
            </w:pPr>
            <w:r w:rsidRPr="00621EF3">
              <w:rPr>
                <w:rFonts w:ascii="Calibri" w:hAnsi="Calibri" w:cs="Calibri"/>
                <w:b/>
                <w:bCs/>
                <w:color w:val="000000"/>
                <w:sz w:val="18"/>
                <w:szCs w:val="18"/>
                <w:lang w:val="en-US" w:eastAsia="en-US"/>
              </w:rPr>
              <w:t>20</w:t>
            </w:r>
          </w:p>
        </w:tc>
      </w:tr>
      <w:tr w:rsidR="00621EF3" w:rsidRPr="00621EF3" w14:paraId="1550FC33" w14:textId="77777777" w:rsidTr="00621EF3">
        <w:trPr>
          <w:trHeight w:val="240"/>
          <w:jc w:val="center"/>
        </w:trPr>
        <w:tc>
          <w:tcPr>
            <w:tcW w:w="592" w:type="dxa"/>
            <w:vMerge w:val="restart"/>
            <w:tcBorders>
              <w:top w:val="nil"/>
              <w:left w:val="single" w:sz="4" w:space="0" w:color="auto"/>
              <w:bottom w:val="single" w:sz="4" w:space="0" w:color="auto"/>
              <w:right w:val="single" w:sz="4" w:space="0" w:color="auto"/>
            </w:tcBorders>
            <w:shd w:val="clear" w:color="auto" w:fill="auto"/>
            <w:vAlign w:val="center"/>
            <w:hideMark/>
          </w:tcPr>
          <w:p w14:paraId="0BA4EBCA"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30</w:t>
            </w:r>
          </w:p>
        </w:tc>
        <w:tc>
          <w:tcPr>
            <w:tcW w:w="490" w:type="dxa"/>
            <w:tcBorders>
              <w:top w:val="nil"/>
              <w:left w:val="nil"/>
              <w:bottom w:val="single" w:sz="4" w:space="0" w:color="auto"/>
              <w:right w:val="single" w:sz="4" w:space="0" w:color="auto"/>
            </w:tcBorders>
            <w:shd w:val="clear" w:color="auto" w:fill="auto"/>
            <w:noWrap/>
            <w:vAlign w:val="center"/>
            <w:hideMark/>
          </w:tcPr>
          <w:p w14:paraId="50F65277"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5</w:t>
            </w:r>
          </w:p>
        </w:tc>
        <w:tc>
          <w:tcPr>
            <w:tcW w:w="490" w:type="dxa"/>
            <w:tcBorders>
              <w:top w:val="nil"/>
              <w:left w:val="nil"/>
              <w:bottom w:val="single" w:sz="4" w:space="0" w:color="auto"/>
              <w:right w:val="single" w:sz="4" w:space="0" w:color="auto"/>
            </w:tcBorders>
            <w:shd w:val="clear" w:color="000000" w:fill="1F4E78"/>
            <w:noWrap/>
            <w:vAlign w:val="center"/>
            <w:hideMark/>
          </w:tcPr>
          <w:p w14:paraId="14C66DE8" w14:textId="77777777" w:rsidR="00621EF3" w:rsidRPr="00621EF3" w:rsidRDefault="00621EF3" w:rsidP="00621EF3">
            <w:pPr>
              <w:overflowPunct/>
              <w:autoSpaceDE/>
              <w:autoSpaceDN/>
              <w:adjustRightInd/>
              <w:spacing w:after="0"/>
              <w:jc w:val="center"/>
              <w:textAlignment w:val="auto"/>
              <w:rPr>
                <w:rFonts w:ascii="Calibri" w:hAnsi="Calibri" w:cs="Calibri"/>
                <w:b/>
                <w:bCs/>
                <w:color w:val="000000"/>
                <w:sz w:val="18"/>
                <w:szCs w:val="18"/>
                <w:lang w:val="en-US" w:eastAsia="en-US"/>
              </w:rPr>
            </w:pPr>
            <w:r w:rsidRPr="00621EF3">
              <w:rPr>
                <w:rFonts w:ascii="Calibri" w:hAnsi="Calibri" w:cs="Calibri"/>
                <w:b/>
                <w:bCs/>
                <w:color w:val="000000"/>
                <w:sz w:val="18"/>
                <w:szCs w:val="18"/>
                <w:lang w:val="en-US" w:eastAsia="en-US"/>
              </w:rPr>
              <w:t>10</w:t>
            </w:r>
          </w:p>
        </w:tc>
        <w:tc>
          <w:tcPr>
            <w:tcW w:w="536" w:type="dxa"/>
            <w:tcBorders>
              <w:top w:val="nil"/>
              <w:left w:val="nil"/>
              <w:bottom w:val="single" w:sz="4" w:space="0" w:color="auto"/>
              <w:right w:val="single" w:sz="4" w:space="0" w:color="auto"/>
            </w:tcBorders>
            <w:shd w:val="clear" w:color="000000" w:fill="1F4E78"/>
            <w:noWrap/>
            <w:vAlign w:val="center"/>
            <w:hideMark/>
          </w:tcPr>
          <w:p w14:paraId="1B732C7C" w14:textId="77777777" w:rsidR="00621EF3" w:rsidRPr="00621EF3" w:rsidRDefault="00621EF3" w:rsidP="00621EF3">
            <w:pPr>
              <w:overflowPunct/>
              <w:autoSpaceDE/>
              <w:autoSpaceDN/>
              <w:adjustRightInd/>
              <w:spacing w:after="0"/>
              <w:jc w:val="center"/>
              <w:textAlignment w:val="auto"/>
              <w:rPr>
                <w:rFonts w:ascii="Calibri" w:hAnsi="Calibri" w:cs="Calibri"/>
                <w:b/>
                <w:bCs/>
                <w:color w:val="000000"/>
                <w:sz w:val="18"/>
                <w:szCs w:val="18"/>
                <w:lang w:val="en-US" w:eastAsia="en-US"/>
              </w:rPr>
            </w:pPr>
            <w:r w:rsidRPr="00621EF3">
              <w:rPr>
                <w:rFonts w:ascii="Calibri" w:hAnsi="Calibri" w:cs="Calibri"/>
                <w:b/>
                <w:bCs/>
                <w:color w:val="000000"/>
                <w:sz w:val="18"/>
                <w:szCs w:val="18"/>
                <w:lang w:val="en-US" w:eastAsia="en-US"/>
              </w:rPr>
              <w:t>7.5</w:t>
            </w:r>
          </w:p>
        </w:tc>
        <w:tc>
          <w:tcPr>
            <w:tcW w:w="528" w:type="dxa"/>
            <w:tcBorders>
              <w:top w:val="nil"/>
              <w:left w:val="nil"/>
              <w:bottom w:val="single" w:sz="4" w:space="0" w:color="auto"/>
              <w:right w:val="single" w:sz="4" w:space="0" w:color="auto"/>
            </w:tcBorders>
            <w:shd w:val="clear" w:color="000000" w:fill="B4C6E7"/>
            <w:vAlign w:val="center"/>
            <w:hideMark/>
          </w:tcPr>
          <w:p w14:paraId="2C7E444D"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11</w:t>
            </w:r>
          </w:p>
        </w:tc>
        <w:tc>
          <w:tcPr>
            <w:tcW w:w="689" w:type="dxa"/>
            <w:tcBorders>
              <w:top w:val="nil"/>
              <w:left w:val="nil"/>
              <w:bottom w:val="single" w:sz="4" w:space="0" w:color="auto"/>
              <w:right w:val="single" w:sz="4" w:space="0" w:color="auto"/>
            </w:tcBorders>
            <w:shd w:val="clear" w:color="000000" w:fill="DDEBF7"/>
            <w:vAlign w:val="center"/>
            <w:hideMark/>
          </w:tcPr>
          <w:p w14:paraId="030EFABE"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6</w:t>
            </w:r>
          </w:p>
        </w:tc>
        <w:tc>
          <w:tcPr>
            <w:tcW w:w="490" w:type="dxa"/>
            <w:tcBorders>
              <w:top w:val="nil"/>
              <w:left w:val="nil"/>
              <w:bottom w:val="single" w:sz="4" w:space="0" w:color="auto"/>
              <w:right w:val="single" w:sz="4" w:space="0" w:color="auto"/>
            </w:tcBorders>
            <w:shd w:val="clear" w:color="000000" w:fill="92D050"/>
            <w:vAlign w:val="center"/>
            <w:hideMark/>
          </w:tcPr>
          <w:p w14:paraId="70B60A69"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23</w:t>
            </w:r>
          </w:p>
        </w:tc>
        <w:tc>
          <w:tcPr>
            <w:tcW w:w="522" w:type="dxa"/>
            <w:tcBorders>
              <w:top w:val="nil"/>
              <w:left w:val="nil"/>
              <w:bottom w:val="single" w:sz="4" w:space="0" w:color="auto"/>
              <w:right w:val="single" w:sz="4" w:space="0" w:color="auto"/>
            </w:tcBorders>
            <w:shd w:val="clear" w:color="000000" w:fill="00B050"/>
            <w:vAlign w:val="center"/>
            <w:hideMark/>
          </w:tcPr>
          <w:p w14:paraId="12BA519D"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17</w:t>
            </w:r>
          </w:p>
        </w:tc>
        <w:tc>
          <w:tcPr>
            <w:tcW w:w="560" w:type="dxa"/>
            <w:tcBorders>
              <w:top w:val="nil"/>
              <w:left w:val="nil"/>
              <w:bottom w:val="single" w:sz="4" w:space="0" w:color="auto"/>
              <w:right w:val="single" w:sz="4" w:space="0" w:color="auto"/>
            </w:tcBorders>
            <w:shd w:val="clear" w:color="000000" w:fill="D9D9D9"/>
            <w:vAlign w:val="center"/>
            <w:hideMark/>
          </w:tcPr>
          <w:p w14:paraId="10D9BAFF"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5</w:t>
            </w:r>
          </w:p>
        </w:tc>
        <w:tc>
          <w:tcPr>
            <w:tcW w:w="560" w:type="dxa"/>
            <w:tcBorders>
              <w:top w:val="nil"/>
              <w:left w:val="nil"/>
              <w:bottom w:val="single" w:sz="4" w:space="0" w:color="auto"/>
              <w:right w:val="single" w:sz="4" w:space="0" w:color="auto"/>
            </w:tcBorders>
            <w:shd w:val="clear" w:color="000000" w:fill="D9D9D9"/>
            <w:vAlign w:val="center"/>
            <w:hideMark/>
          </w:tcPr>
          <w:p w14:paraId="0BE77CA4"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4</w:t>
            </w:r>
          </w:p>
        </w:tc>
        <w:tc>
          <w:tcPr>
            <w:tcW w:w="560" w:type="dxa"/>
            <w:tcBorders>
              <w:top w:val="nil"/>
              <w:left w:val="nil"/>
              <w:bottom w:val="single" w:sz="4" w:space="0" w:color="auto"/>
              <w:right w:val="single" w:sz="4" w:space="0" w:color="auto"/>
            </w:tcBorders>
            <w:shd w:val="clear" w:color="000000" w:fill="D9D9D9"/>
            <w:vAlign w:val="center"/>
            <w:hideMark/>
          </w:tcPr>
          <w:p w14:paraId="4AA5554D"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4</w:t>
            </w:r>
          </w:p>
        </w:tc>
        <w:tc>
          <w:tcPr>
            <w:tcW w:w="560" w:type="dxa"/>
            <w:tcBorders>
              <w:top w:val="nil"/>
              <w:left w:val="nil"/>
              <w:bottom w:val="single" w:sz="4" w:space="0" w:color="auto"/>
              <w:right w:val="single" w:sz="4" w:space="0" w:color="auto"/>
            </w:tcBorders>
            <w:shd w:val="clear" w:color="000000" w:fill="D9D9D9"/>
            <w:vAlign w:val="center"/>
            <w:hideMark/>
          </w:tcPr>
          <w:p w14:paraId="43C64DE1"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3</w:t>
            </w:r>
          </w:p>
        </w:tc>
        <w:tc>
          <w:tcPr>
            <w:tcW w:w="560" w:type="dxa"/>
            <w:tcBorders>
              <w:top w:val="nil"/>
              <w:left w:val="nil"/>
              <w:bottom w:val="single" w:sz="4" w:space="0" w:color="auto"/>
              <w:right w:val="single" w:sz="4" w:space="0" w:color="auto"/>
            </w:tcBorders>
            <w:shd w:val="clear" w:color="000000" w:fill="D9D9D9"/>
            <w:vAlign w:val="center"/>
            <w:hideMark/>
          </w:tcPr>
          <w:p w14:paraId="29A68196"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2</w:t>
            </w:r>
          </w:p>
        </w:tc>
        <w:tc>
          <w:tcPr>
            <w:tcW w:w="560" w:type="dxa"/>
            <w:tcBorders>
              <w:top w:val="nil"/>
              <w:left w:val="nil"/>
              <w:bottom w:val="single" w:sz="4" w:space="0" w:color="auto"/>
              <w:right w:val="single" w:sz="4" w:space="0" w:color="auto"/>
            </w:tcBorders>
            <w:shd w:val="clear" w:color="000000" w:fill="D9D9D9"/>
            <w:vAlign w:val="center"/>
            <w:hideMark/>
          </w:tcPr>
          <w:p w14:paraId="73C630F4"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w:t>
            </w:r>
          </w:p>
        </w:tc>
      </w:tr>
      <w:tr w:rsidR="00621EF3" w:rsidRPr="00621EF3" w14:paraId="69B8259A" w14:textId="77777777" w:rsidTr="00621EF3">
        <w:trPr>
          <w:trHeight w:val="240"/>
          <w:jc w:val="center"/>
        </w:trPr>
        <w:tc>
          <w:tcPr>
            <w:tcW w:w="592" w:type="dxa"/>
            <w:vMerge/>
            <w:tcBorders>
              <w:top w:val="nil"/>
              <w:left w:val="single" w:sz="4" w:space="0" w:color="auto"/>
              <w:bottom w:val="single" w:sz="4" w:space="0" w:color="auto"/>
              <w:right w:val="single" w:sz="4" w:space="0" w:color="auto"/>
            </w:tcBorders>
            <w:vAlign w:val="center"/>
            <w:hideMark/>
          </w:tcPr>
          <w:p w14:paraId="5EE7F83B" w14:textId="77777777" w:rsidR="00621EF3" w:rsidRPr="00621EF3" w:rsidRDefault="00621EF3" w:rsidP="00621EF3">
            <w:pPr>
              <w:overflowPunct/>
              <w:autoSpaceDE/>
              <w:autoSpaceDN/>
              <w:adjustRightInd/>
              <w:spacing w:after="0"/>
              <w:textAlignment w:val="auto"/>
              <w:rPr>
                <w:rFonts w:ascii="Calibri" w:hAnsi="Calibri" w:cs="Calibri"/>
                <w:color w:val="000000"/>
                <w:sz w:val="18"/>
                <w:szCs w:val="18"/>
                <w:lang w:val="en-US" w:eastAsia="en-US"/>
              </w:rPr>
            </w:pPr>
          </w:p>
        </w:tc>
        <w:tc>
          <w:tcPr>
            <w:tcW w:w="490" w:type="dxa"/>
            <w:tcBorders>
              <w:top w:val="nil"/>
              <w:left w:val="nil"/>
              <w:bottom w:val="single" w:sz="4" w:space="0" w:color="auto"/>
              <w:right w:val="single" w:sz="4" w:space="0" w:color="auto"/>
            </w:tcBorders>
            <w:shd w:val="clear" w:color="000000" w:fill="1F4E78"/>
            <w:noWrap/>
            <w:vAlign w:val="center"/>
            <w:hideMark/>
          </w:tcPr>
          <w:p w14:paraId="042AE91F" w14:textId="77777777" w:rsidR="00621EF3" w:rsidRPr="00621EF3" w:rsidRDefault="00621EF3" w:rsidP="00621EF3">
            <w:pPr>
              <w:overflowPunct/>
              <w:autoSpaceDE/>
              <w:autoSpaceDN/>
              <w:adjustRightInd/>
              <w:spacing w:after="0"/>
              <w:jc w:val="center"/>
              <w:textAlignment w:val="auto"/>
              <w:rPr>
                <w:rFonts w:ascii="Calibri" w:hAnsi="Calibri" w:cs="Calibri"/>
                <w:b/>
                <w:bCs/>
                <w:color w:val="000000"/>
                <w:sz w:val="18"/>
                <w:szCs w:val="18"/>
                <w:lang w:val="en-US" w:eastAsia="en-US"/>
              </w:rPr>
            </w:pPr>
            <w:r w:rsidRPr="00621EF3">
              <w:rPr>
                <w:rFonts w:ascii="Calibri" w:hAnsi="Calibri" w:cs="Calibri"/>
                <w:b/>
                <w:bCs/>
                <w:color w:val="000000"/>
                <w:sz w:val="18"/>
                <w:szCs w:val="18"/>
                <w:lang w:val="en-US" w:eastAsia="en-US"/>
              </w:rPr>
              <w:t>10</w:t>
            </w:r>
          </w:p>
        </w:tc>
        <w:tc>
          <w:tcPr>
            <w:tcW w:w="490" w:type="dxa"/>
            <w:tcBorders>
              <w:top w:val="nil"/>
              <w:left w:val="nil"/>
              <w:bottom w:val="single" w:sz="4" w:space="0" w:color="auto"/>
              <w:right w:val="single" w:sz="4" w:space="0" w:color="auto"/>
            </w:tcBorders>
            <w:shd w:val="clear" w:color="000000" w:fill="5B9BD5"/>
            <w:noWrap/>
            <w:vAlign w:val="center"/>
            <w:hideMark/>
          </w:tcPr>
          <w:p w14:paraId="7D3DFD22" w14:textId="77777777" w:rsidR="00621EF3" w:rsidRPr="00621EF3" w:rsidRDefault="00621EF3" w:rsidP="00621EF3">
            <w:pPr>
              <w:overflowPunct/>
              <w:autoSpaceDE/>
              <w:autoSpaceDN/>
              <w:adjustRightInd/>
              <w:spacing w:after="0"/>
              <w:jc w:val="center"/>
              <w:textAlignment w:val="auto"/>
              <w:rPr>
                <w:rFonts w:ascii="Calibri" w:hAnsi="Calibri" w:cs="Calibri"/>
                <w:b/>
                <w:bCs/>
                <w:color w:val="000000"/>
                <w:sz w:val="18"/>
                <w:szCs w:val="18"/>
                <w:lang w:val="en-US" w:eastAsia="en-US"/>
              </w:rPr>
            </w:pPr>
            <w:r w:rsidRPr="00621EF3">
              <w:rPr>
                <w:rFonts w:ascii="Calibri" w:hAnsi="Calibri" w:cs="Calibri"/>
                <w:b/>
                <w:bCs/>
                <w:color w:val="000000"/>
                <w:sz w:val="18"/>
                <w:szCs w:val="18"/>
                <w:lang w:val="en-US" w:eastAsia="en-US"/>
              </w:rPr>
              <w:t>20</w:t>
            </w:r>
          </w:p>
        </w:tc>
        <w:tc>
          <w:tcPr>
            <w:tcW w:w="536" w:type="dxa"/>
            <w:tcBorders>
              <w:top w:val="nil"/>
              <w:left w:val="nil"/>
              <w:bottom w:val="single" w:sz="4" w:space="0" w:color="auto"/>
              <w:right w:val="single" w:sz="4" w:space="0" w:color="auto"/>
            </w:tcBorders>
            <w:shd w:val="clear" w:color="000000" w:fill="2F75B5"/>
            <w:noWrap/>
            <w:vAlign w:val="center"/>
            <w:hideMark/>
          </w:tcPr>
          <w:p w14:paraId="4E250E5E" w14:textId="77777777" w:rsidR="00621EF3" w:rsidRPr="00621EF3" w:rsidRDefault="00621EF3" w:rsidP="00621EF3">
            <w:pPr>
              <w:overflowPunct/>
              <w:autoSpaceDE/>
              <w:autoSpaceDN/>
              <w:adjustRightInd/>
              <w:spacing w:after="0"/>
              <w:jc w:val="center"/>
              <w:textAlignment w:val="auto"/>
              <w:rPr>
                <w:rFonts w:ascii="Calibri" w:hAnsi="Calibri" w:cs="Calibri"/>
                <w:b/>
                <w:bCs/>
                <w:color w:val="000000"/>
                <w:sz w:val="18"/>
                <w:szCs w:val="18"/>
                <w:lang w:val="en-US" w:eastAsia="en-US"/>
              </w:rPr>
            </w:pPr>
            <w:r w:rsidRPr="00621EF3">
              <w:rPr>
                <w:rFonts w:ascii="Calibri" w:hAnsi="Calibri" w:cs="Calibri"/>
                <w:b/>
                <w:bCs/>
                <w:color w:val="000000"/>
                <w:sz w:val="18"/>
                <w:szCs w:val="18"/>
                <w:lang w:val="en-US" w:eastAsia="en-US"/>
              </w:rPr>
              <w:t>15</w:t>
            </w:r>
          </w:p>
        </w:tc>
        <w:tc>
          <w:tcPr>
            <w:tcW w:w="528" w:type="dxa"/>
            <w:tcBorders>
              <w:top w:val="nil"/>
              <w:left w:val="nil"/>
              <w:bottom w:val="single" w:sz="4" w:space="0" w:color="auto"/>
              <w:right w:val="single" w:sz="4" w:space="0" w:color="auto"/>
            </w:tcBorders>
            <w:shd w:val="clear" w:color="000000" w:fill="B4C6E7"/>
            <w:vAlign w:val="center"/>
            <w:hideMark/>
          </w:tcPr>
          <w:p w14:paraId="7EA5004A" w14:textId="77777777" w:rsidR="00621EF3" w:rsidRPr="00621EF3" w:rsidRDefault="00621EF3" w:rsidP="00621EF3">
            <w:pPr>
              <w:overflowPunct/>
              <w:autoSpaceDE/>
              <w:autoSpaceDN/>
              <w:adjustRightInd/>
              <w:spacing w:after="0"/>
              <w:jc w:val="center"/>
              <w:textAlignment w:val="auto"/>
              <w:rPr>
                <w:rFonts w:ascii="Calibri" w:hAnsi="Calibri" w:cs="Calibri"/>
                <w:b/>
                <w:bCs/>
                <w:color w:val="000000"/>
                <w:sz w:val="18"/>
                <w:szCs w:val="18"/>
                <w:lang w:val="en-US" w:eastAsia="en-US"/>
              </w:rPr>
            </w:pPr>
            <w:r w:rsidRPr="00621EF3">
              <w:rPr>
                <w:rFonts w:ascii="Calibri" w:hAnsi="Calibri" w:cs="Calibri"/>
                <w:b/>
                <w:bCs/>
                <w:color w:val="000000"/>
                <w:sz w:val="18"/>
                <w:szCs w:val="18"/>
                <w:lang w:val="en-US" w:eastAsia="en-US"/>
              </w:rPr>
              <w:t>24</w:t>
            </w:r>
          </w:p>
        </w:tc>
        <w:tc>
          <w:tcPr>
            <w:tcW w:w="689" w:type="dxa"/>
            <w:tcBorders>
              <w:top w:val="nil"/>
              <w:left w:val="nil"/>
              <w:bottom w:val="single" w:sz="4" w:space="0" w:color="auto"/>
              <w:right w:val="single" w:sz="4" w:space="0" w:color="auto"/>
            </w:tcBorders>
            <w:shd w:val="clear" w:color="000000" w:fill="DDEBF7"/>
            <w:vAlign w:val="center"/>
            <w:hideMark/>
          </w:tcPr>
          <w:p w14:paraId="1B09166A" w14:textId="77777777" w:rsidR="00621EF3" w:rsidRPr="00621EF3" w:rsidRDefault="00621EF3" w:rsidP="00621EF3">
            <w:pPr>
              <w:overflowPunct/>
              <w:autoSpaceDE/>
              <w:autoSpaceDN/>
              <w:adjustRightInd/>
              <w:spacing w:after="0"/>
              <w:jc w:val="center"/>
              <w:textAlignment w:val="auto"/>
              <w:rPr>
                <w:rFonts w:ascii="Calibri" w:hAnsi="Calibri" w:cs="Calibri"/>
                <w:b/>
                <w:bCs/>
                <w:color w:val="000000"/>
                <w:sz w:val="18"/>
                <w:szCs w:val="18"/>
                <w:lang w:val="en-US" w:eastAsia="en-US"/>
              </w:rPr>
            </w:pPr>
            <w:r w:rsidRPr="00621EF3">
              <w:rPr>
                <w:rFonts w:ascii="Calibri" w:hAnsi="Calibri" w:cs="Calibri"/>
                <w:b/>
                <w:bCs/>
                <w:color w:val="000000"/>
                <w:sz w:val="18"/>
                <w:szCs w:val="18"/>
                <w:lang w:val="en-US" w:eastAsia="en-US"/>
              </w:rPr>
              <w:t>12</w:t>
            </w:r>
          </w:p>
        </w:tc>
        <w:tc>
          <w:tcPr>
            <w:tcW w:w="490" w:type="dxa"/>
            <w:tcBorders>
              <w:top w:val="nil"/>
              <w:left w:val="nil"/>
              <w:bottom w:val="single" w:sz="4" w:space="0" w:color="auto"/>
              <w:right w:val="single" w:sz="4" w:space="0" w:color="auto"/>
            </w:tcBorders>
            <w:shd w:val="clear" w:color="000000" w:fill="00B050"/>
            <w:vAlign w:val="center"/>
            <w:hideMark/>
          </w:tcPr>
          <w:p w14:paraId="46AD99FA" w14:textId="77777777" w:rsidR="00621EF3" w:rsidRPr="00621EF3" w:rsidRDefault="00621EF3" w:rsidP="00621EF3">
            <w:pPr>
              <w:overflowPunct/>
              <w:autoSpaceDE/>
              <w:autoSpaceDN/>
              <w:adjustRightInd/>
              <w:spacing w:after="0"/>
              <w:jc w:val="center"/>
              <w:textAlignment w:val="auto"/>
              <w:rPr>
                <w:rFonts w:ascii="Calibri" w:hAnsi="Calibri" w:cs="Calibri"/>
                <w:b/>
                <w:bCs/>
                <w:color w:val="000000"/>
                <w:sz w:val="18"/>
                <w:szCs w:val="18"/>
                <w:lang w:val="en-US" w:eastAsia="en-US"/>
              </w:rPr>
            </w:pPr>
            <w:r w:rsidRPr="00621EF3">
              <w:rPr>
                <w:rFonts w:ascii="Calibri" w:hAnsi="Calibri" w:cs="Calibri"/>
                <w:b/>
                <w:bCs/>
                <w:color w:val="000000"/>
                <w:sz w:val="18"/>
                <w:szCs w:val="18"/>
                <w:lang w:val="en-US" w:eastAsia="en-US"/>
              </w:rPr>
              <w:t>48</w:t>
            </w:r>
          </w:p>
        </w:tc>
        <w:tc>
          <w:tcPr>
            <w:tcW w:w="522" w:type="dxa"/>
            <w:tcBorders>
              <w:top w:val="nil"/>
              <w:left w:val="nil"/>
              <w:bottom w:val="single" w:sz="4" w:space="0" w:color="auto"/>
              <w:right w:val="single" w:sz="4" w:space="0" w:color="auto"/>
            </w:tcBorders>
            <w:shd w:val="clear" w:color="000000" w:fill="00B050"/>
            <w:vAlign w:val="center"/>
            <w:hideMark/>
          </w:tcPr>
          <w:p w14:paraId="0CF8F1E0" w14:textId="77777777" w:rsidR="00621EF3" w:rsidRPr="00621EF3" w:rsidRDefault="00621EF3" w:rsidP="00621EF3">
            <w:pPr>
              <w:overflowPunct/>
              <w:autoSpaceDE/>
              <w:autoSpaceDN/>
              <w:adjustRightInd/>
              <w:spacing w:after="0"/>
              <w:jc w:val="center"/>
              <w:textAlignment w:val="auto"/>
              <w:rPr>
                <w:rFonts w:ascii="Calibri" w:hAnsi="Calibri" w:cs="Calibri"/>
                <w:b/>
                <w:bCs/>
                <w:color w:val="000000"/>
                <w:sz w:val="18"/>
                <w:szCs w:val="18"/>
                <w:lang w:val="en-US" w:eastAsia="en-US"/>
              </w:rPr>
            </w:pPr>
            <w:r w:rsidRPr="00621EF3">
              <w:rPr>
                <w:rFonts w:ascii="Calibri" w:hAnsi="Calibri" w:cs="Calibri"/>
                <w:b/>
                <w:bCs/>
                <w:color w:val="000000"/>
                <w:sz w:val="18"/>
                <w:szCs w:val="18"/>
                <w:lang w:val="en-US" w:eastAsia="en-US"/>
              </w:rPr>
              <w:t>36</w:t>
            </w:r>
          </w:p>
        </w:tc>
        <w:tc>
          <w:tcPr>
            <w:tcW w:w="560" w:type="dxa"/>
            <w:tcBorders>
              <w:top w:val="nil"/>
              <w:left w:val="nil"/>
              <w:bottom w:val="single" w:sz="4" w:space="0" w:color="auto"/>
              <w:right w:val="single" w:sz="4" w:space="0" w:color="auto"/>
            </w:tcBorders>
            <w:shd w:val="clear" w:color="000000" w:fill="D9D9D9"/>
            <w:vAlign w:val="center"/>
            <w:hideMark/>
          </w:tcPr>
          <w:p w14:paraId="4563E0FC" w14:textId="77777777" w:rsidR="00621EF3" w:rsidRPr="00621EF3" w:rsidRDefault="00621EF3" w:rsidP="00621EF3">
            <w:pPr>
              <w:overflowPunct/>
              <w:autoSpaceDE/>
              <w:autoSpaceDN/>
              <w:adjustRightInd/>
              <w:spacing w:after="0"/>
              <w:jc w:val="center"/>
              <w:textAlignment w:val="auto"/>
              <w:rPr>
                <w:rFonts w:ascii="Calibri" w:hAnsi="Calibri" w:cs="Calibri"/>
                <w:b/>
                <w:bCs/>
                <w:color w:val="000000"/>
                <w:sz w:val="18"/>
                <w:szCs w:val="18"/>
                <w:lang w:val="en-US" w:eastAsia="en-US"/>
              </w:rPr>
            </w:pPr>
            <w:r w:rsidRPr="00621EF3">
              <w:rPr>
                <w:rFonts w:ascii="Calibri" w:hAnsi="Calibri" w:cs="Calibri"/>
                <w:b/>
                <w:bCs/>
                <w:color w:val="000000"/>
                <w:sz w:val="18"/>
                <w:szCs w:val="18"/>
                <w:lang w:val="en-US" w:eastAsia="en-US"/>
              </w:rPr>
              <w:t>11</w:t>
            </w:r>
          </w:p>
        </w:tc>
        <w:tc>
          <w:tcPr>
            <w:tcW w:w="560" w:type="dxa"/>
            <w:tcBorders>
              <w:top w:val="nil"/>
              <w:left w:val="nil"/>
              <w:bottom w:val="single" w:sz="4" w:space="0" w:color="auto"/>
              <w:right w:val="single" w:sz="4" w:space="0" w:color="auto"/>
            </w:tcBorders>
            <w:shd w:val="clear" w:color="000000" w:fill="D9D9D9"/>
            <w:vAlign w:val="center"/>
            <w:hideMark/>
          </w:tcPr>
          <w:p w14:paraId="23BB0FBF" w14:textId="77777777" w:rsidR="00621EF3" w:rsidRPr="00621EF3" w:rsidRDefault="00621EF3" w:rsidP="00621EF3">
            <w:pPr>
              <w:overflowPunct/>
              <w:autoSpaceDE/>
              <w:autoSpaceDN/>
              <w:adjustRightInd/>
              <w:spacing w:after="0"/>
              <w:jc w:val="center"/>
              <w:textAlignment w:val="auto"/>
              <w:rPr>
                <w:rFonts w:ascii="Calibri" w:hAnsi="Calibri" w:cs="Calibri"/>
                <w:b/>
                <w:bCs/>
                <w:color w:val="000000"/>
                <w:sz w:val="18"/>
                <w:szCs w:val="18"/>
                <w:lang w:val="en-US" w:eastAsia="en-US"/>
              </w:rPr>
            </w:pPr>
            <w:r w:rsidRPr="00621EF3">
              <w:rPr>
                <w:rFonts w:ascii="Calibri" w:hAnsi="Calibri" w:cs="Calibri"/>
                <w:b/>
                <w:bCs/>
                <w:color w:val="000000"/>
                <w:sz w:val="18"/>
                <w:szCs w:val="18"/>
                <w:lang w:val="en-US" w:eastAsia="en-US"/>
              </w:rPr>
              <w:t>9</w:t>
            </w:r>
          </w:p>
        </w:tc>
        <w:tc>
          <w:tcPr>
            <w:tcW w:w="560" w:type="dxa"/>
            <w:tcBorders>
              <w:top w:val="nil"/>
              <w:left w:val="nil"/>
              <w:bottom w:val="single" w:sz="4" w:space="0" w:color="auto"/>
              <w:right w:val="single" w:sz="4" w:space="0" w:color="auto"/>
            </w:tcBorders>
            <w:shd w:val="clear" w:color="000000" w:fill="D9D9D9"/>
            <w:vAlign w:val="center"/>
            <w:hideMark/>
          </w:tcPr>
          <w:p w14:paraId="5A57D0F3" w14:textId="77777777" w:rsidR="00621EF3" w:rsidRPr="00621EF3" w:rsidRDefault="00621EF3" w:rsidP="00621EF3">
            <w:pPr>
              <w:overflowPunct/>
              <w:autoSpaceDE/>
              <w:autoSpaceDN/>
              <w:adjustRightInd/>
              <w:spacing w:after="0"/>
              <w:jc w:val="center"/>
              <w:textAlignment w:val="auto"/>
              <w:rPr>
                <w:rFonts w:ascii="Calibri" w:hAnsi="Calibri" w:cs="Calibri"/>
                <w:b/>
                <w:bCs/>
                <w:color w:val="000000"/>
                <w:sz w:val="18"/>
                <w:szCs w:val="18"/>
                <w:lang w:val="en-US" w:eastAsia="en-US"/>
              </w:rPr>
            </w:pPr>
            <w:r w:rsidRPr="00621EF3">
              <w:rPr>
                <w:rFonts w:ascii="Calibri" w:hAnsi="Calibri" w:cs="Calibri"/>
                <w:b/>
                <w:bCs/>
                <w:color w:val="000000"/>
                <w:sz w:val="18"/>
                <w:szCs w:val="18"/>
                <w:lang w:val="en-US" w:eastAsia="en-US"/>
              </w:rPr>
              <w:t>7</w:t>
            </w:r>
          </w:p>
        </w:tc>
        <w:tc>
          <w:tcPr>
            <w:tcW w:w="560" w:type="dxa"/>
            <w:tcBorders>
              <w:top w:val="nil"/>
              <w:left w:val="nil"/>
              <w:bottom w:val="single" w:sz="4" w:space="0" w:color="auto"/>
              <w:right w:val="single" w:sz="4" w:space="0" w:color="auto"/>
            </w:tcBorders>
            <w:shd w:val="clear" w:color="000000" w:fill="D9D9D9"/>
            <w:vAlign w:val="center"/>
            <w:hideMark/>
          </w:tcPr>
          <w:p w14:paraId="75F7EDD0" w14:textId="77777777" w:rsidR="00621EF3" w:rsidRPr="00621EF3" w:rsidRDefault="00621EF3" w:rsidP="00621EF3">
            <w:pPr>
              <w:overflowPunct/>
              <w:autoSpaceDE/>
              <w:autoSpaceDN/>
              <w:adjustRightInd/>
              <w:spacing w:after="0"/>
              <w:jc w:val="center"/>
              <w:textAlignment w:val="auto"/>
              <w:rPr>
                <w:rFonts w:ascii="Calibri" w:hAnsi="Calibri" w:cs="Calibri"/>
                <w:b/>
                <w:bCs/>
                <w:color w:val="000000"/>
                <w:sz w:val="18"/>
                <w:szCs w:val="18"/>
                <w:lang w:val="en-US" w:eastAsia="en-US"/>
              </w:rPr>
            </w:pPr>
            <w:r w:rsidRPr="00621EF3">
              <w:rPr>
                <w:rFonts w:ascii="Calibri" w:hAnsi="Calibri" w:cs="Calibri"/>
                <w:b/>
                <w:bCs/>
                <w:color w:val="000000"/>
                <w:sz w:val="18"/>
                <w:szCs w:val="18"/>
                <w:lang w:val="en-US" w:eastAsia="en-US"/>
              </w:rPr>
              <w:t>6</w:t>
            </w:r>
          </w:p>
        </w:tc>
        <w:tc>
          <w:tcPr>
            <w:tcW w:w="560" w:type="dxa"/>
            <w:tcBorders>
              <w:top w:val="nil"/>
              <w:left w:val="nil"/>
              <w:bottom w:val="single" w:sz="4" w:space="0" w:color="auto"/>
              <w:right w:val="single" w:sz="4" w:space="0" w:color="auto"/>
            </w:tcBorders>
            <w:shd w:val="clear" w:color="000000" w:fill="D9D9D9"/>
            <w:vAlign w:val="center"/>
            <w:hideMark/>
          </w:tcPr>
          <w:p w14:paraId="436B4836" w14:textId="77777777" w:rsidR="00621EF3" w:rsidRPr="00621EF3" w:rsidRDefault="00621EF3" w:rsidP="00621EF3">
            <w:pPr>
              <w:overflowPunct/>
              <w:autoSpaceDE/>
              <w:autoSpaceDN/>
              <w:adjustRightInd/>
              <w:spacing w:after="0"/>
              <w:jc w:val="center"/>
              <w:textAlignment w:val="auto"/>
              <w:rPr>
                <w:rFonts w:ascii="Calibri" w:hAnsi="Calibri" w:cs="Calibri"/>
                <w:b/>
                <w:bCs/>
                <w:color w:val="000000"/>
                <w:sz w:val="18"/>
                <w:szCs w:val="18"/>
                <w:lang w:val="en-US" w:eastAsia="en-US"/>
              </w:rPr>
            </w:pPr>
            <w:r w:rsidRPr="00621EF3">
              <w:rPr>
                <w:rFonts w:ascii="Calibri" w:hAnsi="Calibri" w:cs="Calibri"/>
                <w:b/>
                <w:bCs/>
                <w:color w:val="000000"/>
                <w:sz w:val="18"/>
                <w:szCs w:val="18"/>
                <w:lang w:val="en-US" w:eastAsia="en-US"/>
              </w:rPr>
              <w:t>4</w:t>
            </w:r>
          </w:p>
        </w:tc>
        <w:tc>
          <w:tcPr>
            <w:tcW w:w="560" w:type="dxa"/>
            <w:tcBorders>
              <w:top w:val="nil"/>
              <w:left w:val="nil"/>
              <w:bottom w:val="single" w:sz="4" w:space="0" w:color="auto"/>
              <w:right w:val="single" w:sz="4" w:space="0" w:color="auto"/>
            </w:tcBorders>
            <w:shd w:val="clear" w:color="000000" w:fill="D9D9D9"/>
            <w:vAlign w:val="center"/>
            <w:hideMark/>
          </w:tcPr>
          <w:p w14:paraId="05BE1F01" w14:textId="77777777" w:rsidR="00621EF3" w:rsidRPr="00621EF3" w:rsidRDefault="00621EF3" w:rsidP="00621EF3">
            <w:pPr>
              <w:overflowPunct/>
              <w:autoSpaceDE/>
              <w:autoSpaceDN/>
              <w:adjustRightInd/>
              <w:spacing w:after="0"/>
              <w:jc w:val="center"/>
              <w:textAlignment w:val="auto"/>
              <w:rPr>
                <w:rFonts w:ascii="Calibri" w:hAnsi="Calibri" w:cs="Calibri"/>
                <w:b/>
                <w:bCs/>
                <w:color w:val="000000"/>
                <w:sz w:val="18"/>
                <w:szCs w:val="18"/>
                <w:lang w:val="en-US" w:eastAsia="en-US"/>
              </w:rPr>
            </w:pPr>
            <w:r w:rsidRPr="00621EF3">
              <w:rPr>
                <w:rFonts w:ascii="Calibri" w:hAnsi="Calibri" w:cs="Calibri"/>
                <w:b/>
                <w:bCs/>
                <w:color w:val="000000"/>
                <w:sz w:val="18"/>
                <w:szCs w:val="18"/>
                <w:lang w:val="en-US" w:eastAsia="en-US"/>
              </w:rPr>
              <w:t>2</w:t>
            </w:r>
          </w:p>
        </w:tc>
      </w:tr>
      <w:tr w:rsidR="00621EF3" w:rsidRPr="00621EF3" w14:paraId="5CE7211A" w14:textId="77777777" w:rsidTr="00621EF3">
        <w:trPr>
          <w:trHeight w:val="240"/>
          <w:jc w:val="center"/>
        </w:trPr>
        <w:tc>
          <w:tcPr>
            <w:tcW w:w="592" w:type="dxa"/>
            <w:vMerge/>
            <w:tcBorders>
              <w:top w:val="nil"/>
              <w:left w:val="single" w:sz="4" w:space="0" w:color="auto"/>
              <w:bottom w:val="single" w:sz="4" w:space="0" w:color="auto"/>
              <w:right w:val="single" w:sz="4" w:space="0" w:color="auto"/>
            </w:tcBorders>
            <w:vAlign w:val="center"/>
            <w:hideMark/>
          </w:tcPr>
          <w:p w14:paraId="588786A5" w14:textId="77777777" w:rsidR="00621EF3" w:rsidRPr="00621EF3" w:rsidRDefault="00621EF3" w:rsidP="00621EF3">
            <w:pPr>
              <w:overflowPunct/>
              <w:autoSpaceDE/>
              <w:autoSpaceDN/>
              <w:adjustRightInd/>
              <w:spacing w:after="0"/>
              <w:textAlignment w:val="auto"/>
              <w:rPr>
                <w:rFonts w:ascii="Calibri" w:hAnsi="Calibri" w:cs="Calibri"/>
                <w:color w:val="000000"/>
                <w:sz w:val="18"/>
                <w:szCs w:val="18"/>
                <w:lang w:val="en-US" w:eastAsia="en-US"/>
              </w:rPr>
            </w:pPr>
          </w:p>
        </w:tc>
        <w:tc>
          <w:tcPr>
            <w:tcW w:w="490" w:type="dxa"/>
            <w:tcBorders>
              <w:top w:val="nil"/>
              <w:left w:val="nil"/>
              <w:bottom w:val="single" w:sz="4" w:space="0" w:color="auto"/>
              <w:right w:val="single" w:sz="4" w:space="0" w:color="auto"/>
            </w:tcBorders>
            <w:shd w:val="clear" w:color="000000" w:fill="2F75B5"/>
            <w:noWrap/>
            <w:vAlign w:val="center"/>
            <w:hideMark/>
          </w:tcPr>
          <w:p w14:paraId="624551E3"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15</w:t>
            </w:r>
          </w:p>
        </w:tc>
        <w:tc>
          <w:tcPr>
            <w:tcW w:w="490" w:type="dxa"/>
            <w:tcBorders>
              <w:top w:val="nil"/>
              <w:left w:val="nil"/>
              <w:bottom w:val="single" w:sz="4" w:space="0" w:color="auto"/>
              <w:right w:val="single" w:sz="4" w:space="0" w:color="auto"/>
            </w:tcBorders>
            <w:shd w:val="clear" w:color="000000" w:fill="BDD7EE"/>
            <w:noWrap/>
            <w:vAlign w:val="center"/>
            <w:hideMark/>
          </w:tcPr>
          <w:p w14:paraId="18636B87"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30</w:t>
            </w:r>
          </w:p>
        </w:tc>
        <w:tc>
          <w:tcPr>
            <w:tcW w:w="536" w:type="dxa"/>
            <w:tcBorders>
              <w:top w:val="nil"/>
              <w:left w:val="nil"/>
              <w:bottom w:val="single" w:sz="4" w:space="0" w:color="auto"/>
              <w:right w:val="single" w:sz="4" w:space="0" w:color="auto"/>
            </w:tcBorders>
            <w:shd w:val="clear" w:color="000000" w:fill="9BC2E6"/>
            <w:noWrap/>
            <w:vAlign w:val="center"/>
            <w:hideMark/>
          </w:tcPr>
          <w:p w14:paraId="3920C966"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22.5</w:t>
            </w:r>
          </w:p>
        </w:tc>
        <w:tc>
          <w:tcPr>
            <w:tcW w:w="528" w:type="dxa"/>
            <w:tcBorders>
              <w:top w:val="nil"/>
              <w:left w:val="nil"/>
              <w:bottom w:val="single" w:sz="4" w:space="0" w:color="auto"/>
              <w:right w:val="single" w:sz="4" w:space="0" w:color="auto"/>
            </w:tcBorders>
            <w:shd w:val="clear" w:color="000000" w:fill="B4C6E7"/>
            <w:vAlign w:val="center"/>
            <w:hideMark/>
          </w:tcPr>
          <w:p w14:paraId="39DB201A"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38</w:t>
            </w:r>
          </w:p>
        </w:tc>
        <w:tc>
          <w:tcPr>
            <w:tcW w:w="689" w:type="dxa"/>
            <w:tcBorders>
              <w:top w:val="nil"/>
              <w:left w:val="nil"/>
              <w:bottom w:val="single" w:sz="4" w:space="0" w:color="auto"/>
              <w:right w:val="single" w:sz="4" w:space="0" w:color="auto"/>
            </w:tcBorders>
            <w:shd w:val="clear" w:color="000000" w:fill="DDEBF7"/>
            <w:vAlign w:val="center"/>
            <w:hideMark/>
          </w:tcPr>
          <w:p w14:paraId="266B5B51"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19</w:t>
            </w:r>
          </w:p>
        </w:tc>
        <w:tc>
          <w:tcPr>
            <w:tcW w:w="490" w:type="dxa"/>
            <w:tcBorders>
              <w:top w:val="nil"/>
              <w:left w:val="nil"/>
              <w:bottom w:val="single" w:sz="4" w:space="0" w:color="auto"/>
              <w:right w:val="single" w:sz="4" w:space="0" w:color="auto"/>
            </w:tcBorders>
            <w:shd w:val="clear" w:color="000000" w:fill="00B050"/>
            <w:vAlign w:val="center"/>
            <w:hideMark/>
          </w:tcPr>
          <w:p w14:paraId="7F9AEC0B"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76</w:t>
            </w:r>
          </w:p>
        </w:tc>
        <w:tc>
          <w:tcPr>
            <w:tcW w:w="522" w:type="dxa"/>
            <w:tcBorders>
              <w:top w:val="nil"/>
              <w:left w:val="nil"/>
              <w:bottom w:val="single" w:sz="4" w:space="0" w:color="auto"/>
              <w:right w:val="single" w:sz="4" w:space="0" w:color="auto"/>
            </w:tcBorders>
            <w:shd w:val="clear" w:color="000000" w:fill="00B050"/>
            <w:vAlign w:val="center"/>
            <w:hideMark/>
          </w:tcPr>
          <w:p w14:paraId="755E55FB"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57</w:t>
            </w:r>
          </w:p>
        </w:tc>
        <w:tc>
          <w:tcPr>
            <w:tcW w:w="560" w:type="dxa"/>
            <w:tcBorders>
              <w:top w:val="nil"/>
              <w:left w:val="nil"/>
              <w:bottom w:val="single" w:sz="4" w:space="0" w:color="auto"/>
              <w:right w:val="single" w:sz="4" w:space="0" w:color="auto"/>
            </w:tcBorders>
            <w:shd w:val="clear" w:color="000000" w:fill="D9D9D9"/>
            <w:vAlign w:val="center"/>
            <w:hideMark/>
          </w:tcPr>
          <w:p w14:paraId="3F158548"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17</w:t>
            </w:r>
          </w:p>
        </w:tc>
        <w:tc>
          <w:tcPr>
            <w:tcW w:w="560" w:type="dxa"/>
            <w:tcBorders>
              <w:top w:val="nil"/>
              <w:left w:val="nil"/>
              <w:bottom w:val="single" w:sz="4" w:space="0" w:color="auto"/>
              <w:right w:val="single" w:sz="4" w:space="0" w:color="auto"/>
            </w:tcBorders>
            <w:shd w:val="clear" w:color="000000" w:fill="D9D9D9"/>
            <w:vAlign w:val="center"/>
            <w:hideMark/>
          </w:tcPr>
          <w:p w14:paraId="37A6E1D1"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14</w:t>
            </w:r>
          </w:p>
        </w:tc>
        <w:tc>
          <w:tcPr>
            <w:tcW w:w="560" w:type="dxa"/>
            <w:tcBorders>
              <w:top w:val="nil"/>
              <w:left w:val="nil"/>
              <w:bottom w:val="single" w:sz="4" w:space="0" w:color="auto"/>
              <w:right w:val="single" w:sz="4" w:space="0" w:color="auto"/>
            </w:tcBorders>
            <w:shd w:val="clear" w:color="000000" w:fill="D9D9D9"/>
            <w:vAlign w:val="center"/>
            <w:hideMark/>
          </w:tcPr>
          <w:p w14:paraId="1831CD6B"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11</w:t>
            </w:r>
          </w:p>
        </w:tc>
        <w:tc>
          <w:tcPr>
            <w:tcW w:w="560" w:type="dxa"/>
            <w:tcBorders>
              <w:top w:val="nil"/>
              <w:left w:val="nil"/>
              <w:bottom w:val="single" w:sz="4" w:space="0" w:color="auto"/>
              <w:right w:val="single" w:sz="4" w:space="0" w:color="auto"/>
            </w:tcBorders>
            <w:shd w:val="clear" w:color="000000" w:fill="D9D9D9"/>
            <w:vAlign w:val="center"/>
            <w:hideMark/>
          </w:tcPr>
          <w:p w14:paraId="49A24814"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9</w:t>
            </w:r>
          </w:p>
        </w:tc>
        <w:tc>
          <w:tcPr>
            <w:tcW w:w="560" w:type="dxa"/>
            <w:tcBorders>
              <w:top w:val="nil"/>
              <w:left w:val="nil"/>
              <w:bottom w:val="single" w:sz="4" w:space="0" w:color="auto"/>
              <w:right w:val="single" w:sz="4" w:space="0" w:color="auto"/>
            </w:tcBorders>
            <w:shd w:val="clear" w:color="000000" w:fill="D9D9D9"/>
            <w:vAlign w:val="center"/>
            <w:hideMark/>
          </w:tcPr>
          <w:p w14:paraId="71B408AB"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6</w:t>
            </w:r>
          </w:p>
        </w:tc>
        <w:tc>
          <w:tcPr>
            <w:tcW w:w="560" w:type="dxa"/>
            <w:tcBorders>
              <w:top w:val="nil"/>
              <w:left w:val="nil"/>
              <w:bottom w:val="single" w:sz="4" w:space="0" w:color="auto"/>
              <w:right w:val="single" w:sz="4" w:space="0" w:color="auto"/>
            </w:tcBorders>
            <w:shd w:val="clear" w:color="000000" w:fill="D9D9D9"/>
            <w:vAlign w:val="center"/>
            <w:hideMark/>
          </w:tcPr>
          <w:p w14:paraId="22BD8D6C"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3</w:t>
            </w:r>
          </w:p>
        </w:tc>
      </w:tr>
      <w:tr w:rsidR="00621EF3" w:rsidRPr="00621EF3" w14:paraId="2A9EC5B3" w14:textId="77777777" w:rsidTr="00621EF3">
        <w:trPr>
          <w:trHeight w:val="240"/>
          <w:jc w:val="center"/>
        </w:trPr>
        <w:tc>
          <w:tcPr>
            <w:tcW w:w="592" w:type="dxa"/>
            <w:vMerge/>
            <w:tcBorders>
              <w:top w:val="nil"/>
              <w:left w:val="single" w:sz="4" w:space="0" w:color="auto"/>
              <w:bottom w:val="single" w:sz="4" w:space="0" w:color="auto"/>
              <w:right w:val="single" w:sz="4" w:space="0" w:color="auto"/>
            </w:tcBorders>
            <w:vAlign w:val="center"/>
            <w:hideMark/>
          </w:tcPr>
          <w:p w14:paraId="29EDDD7B" w14:textId="77777777" w:rsidR="00621EF3" w:rsidRPr="00621EF3" w:rsidRDefault="00621EF3" w:rsidP="00621EF3">
            <w:pPr>
              <w:overflowPunct/>
              <w:autoSpaceDE/>
              <w:autoSpaceDN/>
              <w:adjustRightInd/>
              <w:spacing w:after="0"/>
              <w:textAlignment w:val="auto"/>
              <w:rPr>
                <w:rFonts w:ascii="Calibri" w:hAnsi="Calibri" w:cs="Calibri"/>
                <w:color w:val="000000"/>
                <w:sz w:val="18"/>
                <w:szCs w:val="18"/>
                <w:lang w:val="en-US" w:eastAsia="en-US"/>
              </w:rPr>
            </w:pPr>
          </w:p>
        </w:tc>
        <w:tc>
          <w:tcPr>
            <w:tcW w:w="490" w:type="dxa"/>
            <w:tcBorders>
              <w:top w:val="nil"/>
              <w:left w:val="nil"/>
              <w:bottom w:val="single" w:sz="4" w:space="0" w:color="auto"/>
              <w:right w:val="single" w:sz="4" w:space="0" w:color="auto"/>
            </w:tcBorders>
            <w:shd w:val="clear" w:color="000000" w:fill="5B9BD5"/>
            <w:noWrap/>
            <w:vAlign w:val="center"/>
            <w:hideMark/>
          </w:tcPr>
          <w:p w14:paraId="255674E7"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20</w:t>
            </w:r>
          </w:p>
        </w:tc>
        <w:tc>
          <w:tcPr>
            <w:tcW w:w="490" w:type="dxa"/>
            <w:tcBorders>
              <w:top w:val="nil"/>
              <w:left w:val="nil"/>
              <w:bottom w:val="single" w:sz="4" w:space="0" w:color="auto"/>
              <w:right w:val="single" w:sz="4" w:space="0" w:color="auto"/>
            </w:tcBorders>
            <w:shd w:val="clear" w:color="000000" w:fill="D9D9D9"/>
            <w:noWrap/>
            <w:vAlign w:val="center"/>
            <w:hideMark/>
          </w:tcPr>
          <w:p w14:paraId="00CF84C2"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40</w:t>
            </w:r>
          </w:p>
        </w:tc>
        <w:tc>
          <w:tcPr>
            <w:tcW w:w="536" w:type="dxa"/>
            <w:tcBorders>
              <w:top w:val="nil"/>
              <w:left w:val="nil"/>
              <w:bottom w:val="single" w:sz="4" w:space="0" w:color="auto"/>
              <w:right w:val="single" w:sz="4" w:space="0" w:color="auto"/>
            </w:tcBorders>
            <w:shd w:val="clear" w:color="000000" w:fill="BDD7EE"/>
            <w:noWrap/>
            <w:vAlign w:val="center"/>
            <w:hideMark/>
          </w:tcPr>
          <w:p w14:paraId="3424BADA"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30</w:t>
            </w:r>
          </w:p>
        </w:tc>
        <w:tc>
          <w:tcPr>
            <w:tcW w:w="528" w:type="dxa"/>
            <w:tcBorders>
              <w:top w:val="nil"/>
              <w:left w:val="nil"/>
              <w:bottom w:val="single" w:sz="4" w:space="0" w:color="auto"/>
              <w:right w:val="single" w:sz="4" w:space="0" w:color="auto"/>
            </w:tcBorders>
            <w:shd w:val="clear" w:color="000000" w:fill="B4C6E7"/>
            <w:vAlign w:val="center"/>
            <w:hideMark/>
          </w:tcPr>
          <w:p w14:paraId="002115C4"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51</w:t>
            </w:r>
          </w:p>
        </w:tc>
        <w:tc>
          <w:tcPr>
            <w:tcW w:w="689" w:type="dxa"/>
            <w:tcBorders>
              <w:top w:val="nil"/>
              <w:left w:val="nil"/>
              <w:bottom w:val="single" w:sz="4" w:space="0" w:color="auto"/>
              <w:right w:val="single" w:sz="4" w:space="0" w:color="auto"/>
            </w:tcBorders>
            <w:shd w:val="clear" w:color="000000" w:fill="DDEBF7"/>
            <w:vAlign w:val="center"/>
            <w:hideMark/>
          </w:tcPr>
          <w:p w14:paraId="104CB3A5"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26</w:t>
            </w:r>
          </w:p>
        </w:tc>
        <w:tc>
          <w:tcPr>
            <w:tcW w:w="490" w:type="dxa"/>
            <w:tcBorders>
              <w:top w:val="nil"/>
              <w:left w:val="nil"/>
              <w:bottom w:val="single" w:sz="4" w:space="0" w:color="auto"/>
              <w:right w:val="single" w:sz="4" w:space="0" w:color="auto"/>
            </w:tcBorders>
            <w:shd w:val="clear" w:color="000000" w:fill="00B050"/>
            <w:vAlign w:val="center"/>
            <w:hideMark/>
          </w:tcPr>
          <w:p w14:paraId="69947BF2"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103</w:t>
            </w:r>
          </w:p>
        </w:tc>
        <w:tc>
          <w:tcPr>
            <w:tcW w:w="522" w:type="dxa"/>
            <w:tcBorders>
              <w:top w:val="nil"/>
              <w:left w:val="nil"/>
              <w:bottom w:val="single" w:sz="4" w:space="0" w:color="auto"/>
              <w:right w:val="single" w:sz="4" w:space="0" w:color="auto"/>
            </w:tcBorders>
            <w:shd w:val="clear" w:color="000000" w:fill="92D050"/>
            <w:vAlign w:val="center"/>
            <w:hideMark/>
          </w:tcPr>
          <w:p w14:paraId="0063EFEB"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77</w:t>
            </w:r>
          </w:p>
        </w:tc>
        <w:tc>
          <w:tcPr>
            <w:tcW w:w="560" w:type="dxa"/>
            <w:tcBorders>
              <w:top w:val="nil"/>
              <w:left w:val="nil"/>
              <w:bottom w:val="single" w:sz="4" w:space="0" w:color="auto"/>
              <w:right w:val="single" w:sz="4" w:space="0" w:color="auto"/>
            </w:tcBorders>
            <w:shd w:val="clear" w:color="000000" w:fill="D9D9D9"/>
            <w:vAlign w:val="center"/>
            <w:hideMark/>
          </w:tcPr>
          <w:p w14:paraId="14F7B515"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22</w:t>
            </w:r>
          </w:p>
        </w:tc>
        <w:tc>
          <w:tcPr>
            <w:tcW w:w="560" w:type="dxa"/>
            <w:tcBorders>
              <w:top w:val="nil"/>
              <w:left w:val="nil"/>
              <w:bottom w:val="single" w:sz="4" w:space="0" w:color="auto"/>
              <w:right w:val="single" w:sz="4" w:space="0" w:color="auto"/>
            </w:tcBorders>
            <w:shd w:val="clear" w:color="000000" w:fill="D9D9D9"/>
            <w:vAlign w:val="center"/>
            <w:hideMark/>
          </w:tcPr>
          <w:p w14:paraId="7DEAAEA2"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19</w:t>
            </w:r>
          </w:p>
        </w:tc>
        <w:tc>
          <w:tcPr>
            <w:tcW w:w="560" w:type="dxa"/>
            <w:tcBorders>
              <w:top w:val="nil"/>
              <w:left w:val="nil"/>
              <w:bottom w:val="single" w:sz="4" w:space="0" w:color="auto"/>
              <w:right w:val="single" w:sz="4" w:space="0" w:color="auto"/>
            </w:tcBorders>
            <w:shd w:val="clear" w:color="000000" w:fill="D9D9D9"/>
            <w:vAlign w:val="center"/>
            <w:hideMark/>
          </w:tcPr>
          <w:p w14:paraId="2F3A7A6A"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15</w:t>
            </w:r>
          </w:p>
        </w:tc>
        <w:tc>
          <w:tcPr>
            <w:tcW w:w="560" w:type="dxa"/>
            <w:tcBorders>
              <w:top w:val="nil"/>
              <w:left w:val="nil"/>
              <w:bottom w:val="single" w:sz="4" w:space="0" w:color="auto"/>
              <w:right w:val="single" w:sz="4" w:space="0" w:color="auto"/>
            </w:tcBorders>
            <w:shd w:val="clear" w:color="000000" w:fill="D9D9D9"/>
            <w:vAlign w:val="center"/>
            <w:hideMark/>
          </w:tcPr>
          <w:p w14:paraId="71770068"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11</w:t>
            </w:r>
          </w:p>
        </w:tc>
        <w:tc>
          <w:tcPr>
            <w:tcW w:w="560" w:type="dxa"/>
            <w:tcBorders>
              <w:top w:val="nil"/>
              <w:left w:val="nil"/>
              <w:bottom w:val="single" w:sz="4" w:space="0" w:color="auto"/>
              <w:right w:val="single" w:sz="4" w:space="0" w:color="auto"/>
            </w:tcBorders>
            <w:shd w:val="clear" w:color="000000" w:fill="D9D9D9"/>
            <w:vAlign w:val="center"/>
            <w:hideMark/>
          </w:tcPr>
          <w:p w14:paraId="7D57960E"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8</w:t>
            </w:r>
          </w:p>
        </w:tc>
        <w:tc>
          <w:tcPr>
            <w:tcW w:w="560" w:type="dxa"/>
            <w:tcBorders>
              <w:top w:val="nil"/>
              <w:left w:val="nil"/>
              <w:bottom w:val="single" w:sz="4" w:space="0" w:color="auto"/>
              <w:right w:val="single" w:sz="4" w:space="0" w:color="auto"/>
            </w:tcBorders>
            <w:shd w:val="clear" w:color="000000" w:fill="D9D9D9"/>
            <w:vAlign w:val="center"/>
            <w:hideMark/>
          </w:tcPr>
          <w:p w14:paraId="24249617"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4</w:t>
            </w:r>
          </w:p>
        </w:tc>
      </w:tr>
      <w:tr w:rsidR="00621EF3" w:rsidRPr="00621EF3" w14:paraId="7ABE4ED2" w14:textId="77777777" w:rsidTr="00621EF3">
        <w:trPr>
          <w:trHeight w:val="240"/>
          <w:jc w:val="center"/>
        </w:trPr>
        <w:tc>
          <w:tcPr>
            <w:tcW w:w="592" w:type="dxa"/>
            <w:vMerge/>
            <w:tcBorders>
              <w:top w:val="nil"/>
              <w:left w:val="single" w:sz="4" w:space="0" w:color="auto"/>
              <w:bottom w:val="single" w:sz="4" w:space="0" w:color="auto"/>
              <w:right w:val="single" w:sz="4" w:space="0" w:color="auto"/>
            </w:tcBorders>
            <w:vAlign w:val="center"/>
            <w:hideMark/>
          </w:tcPr>
          <w:p w14:paraId="28133999" w14:textId="77777777" w:rsidR="00621EF3" w:rsidRPr="00621EF3" w:rsidRDefault="00621EF3" w:rsidP="00621EF3">
            <w:pPr>
              <w:overflowPunct/>
              <w:autoSpaceDE/>
              <w:autoSpaceDN/>
              <w:adjustRightInd/>
              <w:spacing w:after="0"/>
              <w:textAlignment w:val="auto"/>
              <w:rPr>
                <w:rFonts w:ascii="Calibri" w:hAnsi="Calibri" w:cs="Calibri"/>
                <w:color w:val="000000"/>
                <w:sz w:val="18"/>
                <w:szCs w:val="18"/>
                <w:lang w:val="en-US" w:eastAsia="en-US"/>
              </w:rPr>
            </w:pPr>
          </w:p>
        </w:tc>
        <w:tc>
          <w:tcPr>
            <w:tcW w:w="490" w:type="dxa"/>
            <w:tcBorders>
              <w:top w:val="nil"/>
              <w:left w:val="nil"/>
              <w:bottom w:val="single" w:sz="4" w:space="0" w:color="auto"/>
              <w:right w:val="single" w:sz="4" w:space="0" w:color="auto"/>
            </w:tcBorders>
            <w:shd w:val="clear" w:color="000000" w:fill="9BC2E6"/>
            <w:noWrap/>
            <w:vAlign w:val="center"/>
            <w:hideMark/>
          </w:tcPr>
          <w:p w14:paraId="049566B2"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25</w:t>
            </w:r>
          </w:p>
        </w:tc>
        <w:tc>
          <w:tcPr>
            <w:tcW w:w="490" w:type="dxa"/>
            <w:tcBorders>
              <w:top w:val="nil"/>
              <w:left w:val="nil"/>
              <w:bottom w:val="single" w:sz="4" w:space="0" w:color="auto"/>
              <w:right w:val="single" w:sz="4" w:space="0" w:color="auto"/>
            </w:tcBorders>
            <w:shd w:val="clear" w:color="000000" w:fill="FCE4D6"/>
            <w:noWrap/>
            <w:vAlign w:val="center"/>
            <w:hideMark/>
          </w:tcPr>
          <w:p w14:paraId="72917268"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50</w:t>
            </w:r>
          </w:p>
        </w:tc>
        <w:tc>
          <w:tcPr>
            <w:tcW w:w="536" w:type="dxa"/>
            <w:tcBorders>
              <w:top w:val="nil"/>
              <w:left w:val="nil"/>
              <w:bottom w:val="single" w:sz="4" w:space="0" w:color="auto"/>
              <w:right w:val="single" w:sz="4" w:space="0" w:color="auto"/>
            </w:tcBorders>
            <w:shd w:val="clear" w:color="000000" w:fill="D9D9D9"/>
            <w:noWrap/>
            <w:vAlign w:val="center"/>
            <w:hideMark/>
          </w:tcPr>
          <w:p w14:paraId="50DF0561"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37.5</w:t>
            </w:r>
          </w:p>
        </w:tc>
        <w:tc>
          <w:tcPr>
            <w:tcW w:w="528" w:type="dxa"/>
            <w:tcBorders>
              <w:top w:val="nil"/>
              <w:left w:val="nil"/>
              <w:bottom w:val="single" w:sz="4" w:space="0" w:color="auto"/>
              <w:right w:val="single" w:sz="4" w:space="0" w:color="auto"/>
            </w:tcBorders>
            <w:shd w:val="clear" w:color="000000" w:fill="B4C6E7"/>
            <w:vAlign w:val="center"/>
            <w:hideMark/>
          </w:tcPr>
          <w:p w14:paraId="16DE2EFC"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65</w:t>
            </w:r>
          </w:p>
        </w:tc>
        <w:tc>
          <w:tcPr>
            <w:tcW w:w="689" w:type="dxa"/>
            <w:tcBorders>
              <w:top w:val="nil"/>
              <w:left w:val="nil"/>
              <w:bottom w:val="single" w:sz="4" w:space="0" w:color="auto"/>
              <w:right w:val="single" w:sz="4" w:space="0" w:color="auto"/>
            </w:tcBorders>
            <w:shd w:val="clear" w:color="000000" w:fill="DDEBF7"/>
            <w:vAlign w:val="center"/>
            <w:hideMark/>
          </w:tcPr>
          <w:p w14:paraId="64BD3DBB"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33</w:t>
            </w:r>
          </w:p>
        </w:tc>
        <w:tc>
          <w:tcPr>
            <w:tcW w:w="490" w:type="dxa"/>
            <w:tcBorders>
              <w:top w:val="nil"/>
              <w:left w:val="nil"/>
              <w:bottom w:val="single" w:sz="4" w:space="0" w:color="auto"/>
              <w:right w:val="single" w:sz="4" w:space="0" w:color="auto"/>
            </w:tcBorders>
            <w:shd w:val="clear" w:color="000000" w:fill="00B050"/>
            <w:vAlign w:val="center"/>
            <w:hideMark/>
          </w:tcPr>
          <w:p w14:paraId="4AF61403"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131</w:t>
            </w:r>
          </w:p>
        </w:tc>
        <w:tc>
          <w:tcPr>
            <w:tcW w:w="522" w:type="dxa"/>
            <w:tcBorders>
              <w:top w:val="nil"/>
              <w:left w:val="nil"/>
              <w:bottom w:val="single" w:sz="4" w:space="0" w:color="auto"/>
              <w:right w:val="single" w:sz="4" w:space="0" w:color="auto"/>
            </w:tcBorders>
            <w:shd w:val="clear" w:color="000000" w:fill="00B050"/>
            <w:vAlign w:val="center"/>
            <w:hideMark/>
          </w:tcPr>
          <w:p w14:paraId="5D6A9234"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98</w:t>
            </w:r>
          </w:p>
        </w:tc>
        <w:tc>
          <w:tcPr>
            <w:tcW w:w="560" w:type="dxa"/>
            <w:tcBorders>
              <w:top w:val="nil"/>
              <w:left w:val="nil"/>
              <w:bottom w:val="single" w:sz="4" w:space="0" w:color="auto"/>
              <w:right w:val="single" w:sz="4" w:space="0" w:color="auto"/>
            </w:tcBorders>
            <w:shd w:val="clear" w:color="000000" w:fill="D9D9D9"/>
            <w:vAlign w:val="center"/>
            <w:hideMark/>
          </w:tcPr>
          <w:p w14:paraId="5C77A9EF"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28</w:t>
            </w:r>
          </w:p>
        </w:tc>
        <w:tc>
          <w:tcPr>
            <w:tcW w:w="560" w:type="dxa"/>
            <w:tcBorders>
              <w:top w:val="nil"/>
              <w:left w:val="nil"/>
              <w:bottom w:val="single" w:sz="4" w:space="0" w:color="auto"/>
              <w:right w:val="single" w:sz="4" w:space="0" w:color="auto"/>
            </w:tcBorders>
            <w:shd w:val="clear" w:color="000000" w:fill="D9D9D9"/>
            <w:vAlign w:val="center"/>
            <w:hideMark/>
          </w:tcPr>
          <w:p w14:paraId="75BF15E1"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24</w:t>
            </w:r>
          </w:p>
        </w:tc>
        <w:tc>
          <w:tcPr>
            <w:tcW w:w="560" w:type="dxa"/>
            <w:tcBorders>
              <w:top w:val="nil"/>
              <w:left w:val="nil"/>
              <w:bottom w:val="single" w:sz="4" w:space="0" w:color="auto"/>
              <w:right w:val="single" w:sz="4" w:space="0" w:color="auto"/>
            </w:tcBorders>
            <w:shd w:val="clear" w:color="000000" w:fill="D9D9D9"/>
            <w:vAlign w:val="center"/>
            <w:hideMark/>
          </w:tcPr>
          <w:p w14:paraId="3EB753B2"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19</w:t>
            </w:r>
          </w:p>
        </w:tc>
        <w:tc>
          <w:tcPr>
            <w:tcW w:w="560" w:type="dxa"/>
            <w:tcBorders>
              <w:top w:val="nil"/>
              <w:left w:val="nil"/>
              <w:bottom w:val="single" w:sz="4" w:space="0" w:color="auto"/>
              <w:right w:val="single" w:sz="4" w:space="0" w:color="auto"/>
            </w:tcBorders>
            <w:shd w:val="clear" w:color="000000" w:fill="D9D9D9"/>
            <w:vAlign w:val="center"/>
            <w:hideMark/>
          </w:tcPr>
          <w:p w14:paraId="1A12B05A"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14</w:t>
            </w:r>
          </w:p>
        </w:tc>
        <w:tc>
          <w:tcPr>
            <w:tcW w:w="560" w:type="dxa"/>
            <w:tcBorders>
              <w:top w:val="nil"/>
              <w:left w:val="nil"/>
              <w:bottom w:val="single" w:sz="4" w:space="0" w:color="auto"/>
              <w:right w:val="single" w:sz="4" w:space="0" w:color="auto"/>
            </w:tcBorders>
            <w:shd w:val="clear" w:color="000000" w:fill="D9D9D9"/>
            <w:vAlign w:val="center"/>
            <w:hideMark/>
          </w:tcPr>
          <w:p w14:paraId="5A043A9F"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10</w:t>
            </w:r>
          </w:p>
        </w:tc>
        <w:tc>
          <w:tcPr>
            <w:tcW w:w="560" w:type="dxa"/>
            <w:tcBorders>
              <w:top w:val="nil"/>
              <w:left w:val="nil"/>
              <w:bottom w:val="single" w:sz="4" w:space="0" w:color="auto"/>
              <w:right w:val="single" w:sz="4" w:space="0" w:color="auto"/>
            </w:tcBorders>
            <w:shd w:val="clear" w:color="000000" w:fill="D9D9D9"/>
            <w:vAlign w:val="center"/>
            <w:hideMark/>
          </w:tcPr>
          <w:p w14:paraId="6F49BC00"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5</w:t>
            </w:r>
          </w:p>
        </w:tc>
      </w:tr>
      <w:tr w:rsidR="00621EF3" w:rsidRPr="00621EF3" w14:paraId="733F3550" w14:textId="77777777" w:rsidTr="00621EF3">
        <w:trPr>
          <w:trHeight w:val="240"/>
          <w:jc w:val="center"/>
        </w:trPr>
        <w:tc>
          <w:tcPr>
            <w:tcW w:w="592" w:type="dxa"/>
            <w:vMerge/>
            <w:tcBorders>
              <w:top w:val="nil"/>
              <w:left w:val="single" w:sz="4" w:space="0" w:color="auto"/>
              <w:bottom w:val="single" w:sz="4" w:space="0" w:color="auto"/>
              <w:right w:val="single" w:sz="4" w:space="0" w:color="auto"/>
            </w:tcBorders>
            <w:vAlign w:val="center"/>
            <w:hideMark/>
          </w:tcPr>
          <w:p w14:paraId="71E2D42F" w14:textId="77777777" w:rsidR="00621EF3" w:rsidRPr="00621EF3" w:rsidRDefault="00621EF3" w:rsidP="00621EF3">
            <w:pPr>
              <w:overflowPunct/>
              <w:autoSpaceDE/>
              <w:autoSpaceDN/>
              <w:adjustRightInd/>
              <w:spacing w:after="0"/>
              <w:textAlignment w:val="auto"/>
              <w:rPr>
                <w:rFonts w:ascii="Calibri" w:hAnsi="Calibri" w:cs="Calibri"/>
                <w:color w:val="000000"/>
                <w:sz w:val="18"/>
                <w:szCs w:val="18"/>
                <w:lang w:val="en-US" w:eastAsia="en-US"/>
              </w:rPr>
            </w:pPr>
          </w:p>
        </w:tc>
        <w:tc>
          <w:tcPr>
            <w:tcW w:w="490" w:type="dxa"/>
            <w:tcBorders>
              <w:top w:val="nil"/>
              <w:left w:val="nil"/>
              <w:bottom w:val="single" w:sz="4" w:space="0" w:color="auto"/>
              <w:right w:val="single" w:sz="4" w:space="0" w:color="auto"/>
            </w:tcBorders>
            <w:shd w:val="clear" w:color="000000" w:fill="BDD7EE"/>
            <w:noWrap/>
            <w:vAlign w:val="center"/>
            <w:hideMark/>
          </w:tcPr>
          <w:p w14:paraId="25F2FFB2"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30</w:t>
            </w:r>
          </w:p>
        </w:tc>
        <w:tc>
          <w:tcPr>
            <w:tcW w:w="490" w:type="dxa"/>
            <w:tcBorders>
              <w:top w:val="nil"/>
              <w:left w:val="nil"/>
              <w:bottom w:val="single" w:sz="4" w:space="0" w:color="auto"/>
              <w:right w:val="single" w:sz="4" w:space="0" w:color="auto"/>
            </w:tcBorders>
            <w:shd w:val="clear" w:color="000000" w:fill="F8CBAD"/>
            <w:noWrap/>
            <w:vAlign w:val="center"/>
            <w:hideMark/>
          </w:tcPr>
          <w:p w14:paraId="76480370"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60</w:t>
            </w:r>
          </w:p>
        </w:tc>
        <w:tc>
          <w:tcPr>
            <w:tcW w:w="536" w:type="dxa"/>
            <w:tcBorders>
              <w:top w:val="nil"/>
              <w:left w:val="nil"/>
              <w:bottom w:val="single" w:sz="4" w:space="0" w:color="auto"/>
              <w:right w:val="single" w:sz="4" w:space="0" w:color="auto"/>
            </w:tcBorders>
            <w:shd w:val="clear" w:color="000000" w:fill="BFBFBF"/>
            <w:noWrap/>
            <w:vAlign w:val="center"/>
            <w:hideMark/>
          </w:tcPr>
          <w:p w14:paraId="43B8CD3C"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45</w:t>
            </w:r>
          </w:p>
        </w:tc>
        <w:tc>
          <w:tcPr>
            <w:tcW w:w="528" w:type="dxa"/>
            <w:tcBorders>
              <w:top w:val="nil"/>
              <w:left w:val="nil"/>
              <w:bottom w:val="single" w:sz="4" w:space="0" w:color="auto"/>
              <w:right w:val="single" w:sz="4" w:space="0" w:color="auto"/>
            </w:tcBorders>
            <w:shd w:val="clear" w:color="000000" w:fill="B4C6E7"/>
            <w:vAlign w:val="center"/>
            <w:hideMark/>
          </w:tcPr>
          <w:p w14:paraId="23A63FDB"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78</w:t>
            </w:r>
          </w:p>
        </w:tc>
        <w:tc>
          <w:tcPr>
            <w:tcW w:w="689" w:type="dxa"/>
            <w:tcBorders>
              <w:top w:val="nil"/>
              <w:left w:val="nil"/>
              <w:bottom w:val="single" w:sz="4" w:space="0" w:color="auto"/>
              <w:right w:val="single" w:sz="4" w:space="0" w:color="auto"/>
            </w:tcBorders>
            <w:shd w:val="clear" w:color="000000" w:fill="DDEBF7"/>
            <w:vAlign w:val="center"/>
            <w:hideMark/>
          </w:tcPr>
          <w:p w14:paraId="3BEC6BDB"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39</w:t>
            </w:r>
          </w:p>
        </w:tc>
        <w:tc>
          <w:tcPr>
            <w:tcW w:w="490" w:type="dxa"/>
            <w:tcBorders>
              <w:top w:val="nil"/>
              <w:left w:val="nil"/>
              <w:bottom w:val="single" w:sz="4" w:space="0" w:color="auto"/>
              <w:right w:val="single" w:sz="4" w:space="0" w:color="auto"/>
            </w:tcBorders>
            <w:shd w:val="clear" w:color="000000" w:fill="00B050"/>
            <w:vAlign w:val="center"/>
            <w:hideMark/>
          </w:tcPr>
          <w:p w14:paraId="77F28C58"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156</w:t>
            </w:r>
          </w:p>
        </w:tc>
        <w:tc>
          <w:tcPr>
            <w:tcW w:w="522" w:type="dxa"/>
            <w:tcBorders>
              <w:top w:val="nil"/>
              <w:left w:val="nil"/>
              <w:bottom w:val="single" w:sz="4" w:space="0" w:color="auto"/>
              <w:right w:val="single" w:sz="4" w:space="0" w:color="auto"/>
            </w:tcBorders>
            <w:shd w:val="clear" w:color="000000" w:fill="00B050"/>
            <w:vAlign w:val="center"/>
            <w:hideMark/>
          </w:tcPr>
          <w:p w14:paraId="2EFEF95E"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117</w:t>
            </w:r>
          </w:p>
        </w:tc>
        <w:tc>
          <w:tcPr>
            <w:tcW w:w="560" w:type="dxa"/>
            <w:tcBorders>
              <w:top w:val="nil"/>
              <w:left w:val="nil"/>
              <w:bottom w:val="single" w:sz="4" w:space="0" w:color="auto"/>
              <w:right w:val="single" w:sz="4" w:space="0" w:color="auto"/>
            </w:tcBorders>
            <w:shd w:val="clear" w:color="000000" w:fill="D9D9D9"/>
            <w:vAlign w:val="center"/>
            <w:hideMark/>
          </w:tcPr>
          <w:p w14:paraId="06B1461F"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34</w:t>
            </w:r>
          </w:p>
        </w:tc>
        <w:tc>
          <w:tcPr>
            <w:tcW w:w="560" w:type="dxa"/>
            <w:tcBorders>
              <w:top w:val="nil"/>
              <w:left w:val="nil"/>
              <w:bottom w:val="single" w:sz="4" w:space="0" w:color="auto"/>
              <w:right w:val="single" w:sz="4" w:space="0" w:color="auto"/>
            </w:tcBorders>
            <w:shd w:val="clear" w:color="000000" w:fill="D9D9D9"/>
            <w:vAlign w:val="center"/>
            <w:hideMark/>
          </w:tcPr>
          <w:p w14:paraId="59DBC4DD"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28</w:t>
            </w:r>
          </w:p>
        </w:tc>
        <w:tc>
          <w:tcPr>
            <w:tcW w:w="560" w:type="dxa"/>
            <w:tcBorders>
              <w:top w:val="nil"/>
              <w:left w:val="nil"/>
              <w:bottom w:val="single" w:sz="4" w:space="0" w:color="auto"/>
              <w:right w:val="single" w:sz="4" w:space="0" w:color="auto"/>
            </w:tcBorders>
            <w:shd w:val="clear" w:color="000000" w:fill="D9D9D9"/>
            <w:vAlign w:val="center"/>
            <w:hideMark/>
          </w:tcPr>
          <w:p w14:paraId="5F1C3590"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23</w:t>
            </w:r>
          </w:p>
        </w:tc>
        <w:tc>
          <w:tcPr>
            <w:tcW w:w="560" w:type="dxa"/>
            <w:tcBorders>
              <w:top w:val="nil"/>
              <w:left w:val="nil"/>
              <w:bottom w:val="single" w:sz="4" w:space="0" w:color="auto"/>
              <w:right w:val="single" w:sz="4" w:space="0" w:color="auto"/>
            </w:tcBorders>
            <w:shd w:val="clear" w:color="000000" w:fill="D9D9D9"/>
            <w:vAlign w:val="center"/>
            <w:hideMark/>
          </w:tcPr>
          <w:p w14:paraId="583FC900"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17</w:t>
            </w:r>
          </w:p>
        </w:tc>
        <w:tc>
          <w:tcPr>
            <w:tcW w:w="560" w:type="dxa"/>
            <w:tcBorders>
              <w:top w:val="nil"/>
              <w:left w:val="nil"/>
              <w:bottom w:val="single" w:sz="4" w:space="0" w:color="auto"/>
              <w:right w:val="single" w:sz="4" w:space="0" w:color="auto"/>
            </w:tcBorders>
            <w:shd w:val="clear" w:color="000000" w:fill="D9D9D9"/>
            <w:vAlign w:val="center"/>
            <w:hideMark/>
          </w:tcPr>
          <w:p w14:paraId="220EF039"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12</w:t>
            </w:r>
          </w:p>
        </w:tc>
        <w:tc>
          <w:tcPr>
            <w:tcW w:w="560" w:type="dxa"/>
            <w:tcBorders>
              <w:top w:val="nil"/>
              <w:left w:val="nil"/>
              <w:bottom w:val="single" w:sz="4" w:space="0" w:color="auto"/>
              <w:right w:val="single" w:sz="4" w:space="0" w:color="auto"/>
            </w:tcBorders>
            <w:shd w:val="clear" w:color="000000" w:fill="D9D9D9"/>
            <w:vAlign w:val="center"/>
            <w:hideMark/>
          </w:tcPr>
          <w:p w14:paraId="322291C6"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6</w:t>
            </w:r>
          </w:p>
        </w:tc>
      </w:tr>
      <w:tr w:rsidR="00621EF3" w:rsidRPr="00621EF3" w14:paraId="59DE20E9" w14:textId="77777777" w:rsidTr="00621EF3">
        <w:trPr>
          <w:trHeight w:val="240"/>
          <w:jc w:val="center"/>
        </w:trPr>
        <w:tc>
          <w:tcPr>
            <w:tcW w:w="592" w:type="dxa"/>
            <w:vMerge/>
            <w:tcBorders>
              <w:top w:val="nil"/>
              <w:left w:val="single" w:sz="4" w:space="0" w:color="auto"/>
              <w:bottom w:val="single" w:sz="4" w:space="0" w:color="auto"/>
              <w:right w:val="single" w:sz="4" w:space="0" w:color="auto"/>
            </w:tcBorders>
            <w:vAlign w:val="center"/>
            <w:hideMark/>
          </w:tcPr>
          <w:p w14:paraId="5AED3CD7" w14:textId="77777777" w:rsidR="00621EF3" w:rsidRPr="00621EF3" w:rsidRDefault="00621EF3" w:rsidP="00621EF3">
            <w:pPr>
              <w:overflowPunct/>
              <w:autoSpaceDE/>
              <w:autoSpaceDN/>
              <w:adjustRightInd/>
              <w:spacing w:after="0"/>
              <w:textAlignment w:val="auto"/>
              <w:rPr>
                <w:rFonts w:ascii="Calibri" w:hAnsi="Calibri" w:cs="Calibri"/>
                <w:color w:val="000000"/>
                <w:sz w:val="18"/>
                <w:szCs w:val="18"/>
                <w:lang w:val="en-US" w:eastAsia="en-US"/>
              </w:rPr>
            </w:pPr>
          </w:p>
        </w:tc>
        <w:tc>
          <w:tcPr>
            <w:tcW w:w="490" w:type="dxa"/>
            <w:tcBorders>
              <w:top w:val="nil"/>
              <w:left w:val="nil"/>
              <w:bottom w:val="single" w:sz="4" w:space="0" w:color="auto"/>
              <w:right w:val="single" w:sz="4" w:space="0" w:color="auto"/>
            </w:tcBorders>
            <w:shd w:val="clear" w:color="000000" w:fill="DDEBF7"/>
            <w:noWrap/>
            <w:vAlign w:val="center"/>
            <w:hideMark/>
          </w:tcPr>
          <w:p w14:paraId="5A43EAD5"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35</w:t>
            </w:r>
          </w:p>
        </w:tc>
        <w:tc>
          <w:tcPr>
            <w:tcW w:w="490" w:type="dxa"/>
            <w:tcBorders>
              <w:top w:val="nil"/>
              <w:left w:val="nil"/>
              <w:bottom w:val="single" w:sz="4" w:space="0" w:color="auto"/>
              <w:right w:val="single" w:sz="4" w:space="0" w:color="auto"/>
            </w:tcBorders>
            <w:shd w:val="clear" w:color="000000" w:fill="F4B084"/>
            <w:noWrap/>
            <w:vAlign w:val="center"/>
            <w:hideMark/>
          </w:tcPr>
          <w:p w14:paraId="7A94C857"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70</w:t>
            </w:r>
          </w:p>
        </w:tc>
        <w:tc>
          <w:tcPr>
            <w:tcW w:w="536" w:type="dxa"/>
            <w:tcBorders>
              <w:top w:val="nil"/>
              <w:left w:val="nil"/>
              <w:bottom w:val="single" w:sz="4" w:space="0" w:color="auto"/>
              <w:right w:val="single" w:sz="4" w:space="0" w:color="auto"/>
            </w:tcBorders>
            <w:shd w:val="clear" w:color="000000" w:fill="F8CBAD"/>
            <w:noWrap/>
            <w:vAlign w:val="center"/>
            <w:hideMark/>
          </w:tcPr>
          <w:p w14:paraId="38D69F14"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52.5</w:t>
            </w:r>
          </w:p>
        </w:tc>
        <w:tc>
          <w:tcPr>
            <w:tcW w:w="528" w:type="dxa"/>
            <w:tcBorders>
              <w:top w:val="nil"/>
              <w:left w:val="nil"/>
              <w:bottom w:val="single" w:sz="4" w:space="0" w:color="auto"/>
              <w:right w:val="single" w:sz="4" w:space="0" w:color="auto"/>
            </w:tcBorders>
            <w:shd w:val="clear" w:color="000000" w:fill="B4C6E7"/>
            <w:vAlign w:val="center"/>
            <w:hideMark/>
          </w:tcPr>
          <w:p w14:paraId="1CA18448"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92</w:t>
            </w:r>
          </w:p>
        </w:tc>
        <w:tc>
          <w:tcPr>
            <w:tcW w:w="689" w:type="dxa"/>
            <w:tcBorders>
              <w:top w:val="nil"/>
              <w:left w:val="nil"/>
              <w:bottom w:val="single" w:sz="4" w:space="0" w:color="auto"/>
              <w:right w:val="single" w:sz="4" w:space="0" w:color="auto"/>
            </w:tcBorders>
            <w:shd w:val="clear" w:color="000000" w:fill="DDEBF7"/>
            <w:vAlign w:val="center"/>
            <w:hideMark/>
          </w:tcPr>
          <w:p w14:paraId="7B5C729A"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46</w:t>
            </w:r>
          </w:p>
        </w:tc>
        <w:tc>
          <w:tcPr>
            <w:tcW w:w="490" w:type="dxa"/>
            <w:tcBorders>
              <w:top w:val="nil"/>
              <w:left w:val="nil"/>
              <w:bottom w:val="single" w:sz="4" w:space="0" w:color="auto"/>
              <w:right w:val="single" w:sz="4" w:space="0" w:color="auto"/>
            </w:tcBorders>
            <w:shd w:val="clear" w:color="000000" w:fill="00B050"/>
            <w:vAlign w:val="center"/>
            <w:hideMark/>
          </w:tcPr>
          <w:p w14:paraId="24A583D8"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184</w:t>
            </w:r>
          </w:p>
        </w:tc>
        <w:tc>
          <w:tcPr>
            <w:tcW w:w="522" w:type="dxa"/>
            <w:tcBorders>
              <w:top w:val="nil"/>
              <w:left w:val="nil"/>
              <w:bottom w:val="single" w:sz="4" w:space="0" w:color="auto"/>
              <w:right w:val="single" w:sz="4" w:space="0" w:color="auto"/>
            </w:tcBorders>
            <w:shd w:val="clear" w:color="000000" w:fill="00B050"/>
            <w:vAlign w:val="center"/>
            <w:hideMark/>
          </w:tcPr>
          <w:p w14:paraId="7CBFBFB8"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138</w:t>
            </w:r>
          </w:p>
        </w:tc>
        <w:tc>
          <w:tcPr>
            <w:tcW w:w="560" w:type="dxa"/>
            <w:tcBorders>
              <w:top w:val="nil"/>
              <w:left w:val="nil"/>
              <w:bottom w:val="single" w:sz="4" w:space="0" w:color="auto"/>
              <w:right w:val="single" w:sz="4" w:space="0" w:color="auto"/>
            </w:tcBorders>
            <w:shd w:val="clear" w:color="000000" w:fill="D9D9D9"/>
            <w:vAlign w:val="center"/>
            <w:hideMark/>
          </w:tcPr>
          <w:p w14:paraId="632AF645"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40</w:t>
            </w:r>
          </w:p>
        </w:tc>
        <w:tc>
          <w:tcPr>
            <w:tcW w:w="560" w:type="dxa"/>
            <w:tcBorders>
              <w:top w:val="nil"/>
              <w:left w:val="nil"/>
              <w:bottom w:val="single" w:sz="4" w:space="0" w:color="auto"/>
              <w:right w:val="single" w:sz="4" w:space="0" w:color="auto"/>
            </w:tcBorders>
            <w:shd w:val="clear" w:color="000000" w:fill="D9D9D9"/>
            <w:vAlign w:val="center"/>
            <w:hideMark/>
          </w:tcPr>
          <w:p w14:paraId="02369BCC"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33</w:t>
            </w:r>
          </w:p>
        </w:tc>
        <w:tc>
          <w:tcPr>
            <w:tcW w:w="560" w:type="dxa"/>
            <w:tcBorders>
              <w:top w:val="nil"/>
              <w:left w:val="nil"/>
              <w:bottom w:val="single" w:sz="4" w:space="0" w:color="auto"/>
              <w:right w:val="single" w:sz="4" w:space="0" w:color="auto"/>
            </w:tcBorders>
            <w:shd w:val="clear" w:color="000000" w:fill="D9D9D9"/>
            <w:vAlign w:val="center"/>
            <w:hideMark/>
          </w:tcPr>
          <w:p w14:paraId="040395B7"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27</w:t>
            </w:r>
          </w:p>
        </w:tc>
        <w:tc>
          <w:tcPr>
            <w:tcW w:w="560" w:type="dxa"/>
            <w:tcBorders>
              <w:top w:val="nil"/>
              <w:left w:val="nil"/>
              <w:bottom w:val="single" w:sz="4" w:space="0" w:color="auto"/>
              <w:right w:val="single" w:sz="4" w:space="0" w:color="auto"/>
            </w:tcBorders>
            <w:shd w:val="clear" w:color="000000" w:fill="D9D9D9"/>
            <w:vAlign w:val="center"/>
            <w:hideMark/>
          </w:tcPr>
          <w:p w14:paraId="18932E3B"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20</w:t>
            </w:r>
          </w:p>
        </w:tc>
        <w:tc>
          <w:tcPr>
            <w:tcW w:w="560" w:type="dxa"/>
            <w:tcBorders>
              <w:top w:val="nil"/>
              <w:left w:val="nil"/>
              <w:bottom w:val="single" w:sz="4" w:space="0" w:color="auto"/>
              <w:right w:val="single" w:sz="4" w:space="0" w:color="auto"/>
            </w:tcBorders>
            <w:shd w:val="clear" w:color="000000" w:fill="D9D9D9"/>
            <w:vAlign w:val="center"/>
            <w:hideMark/>
          </w:tcPr>
          <w:p w14:paraId="61614000"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14</w:t>
            </w:r>
          </w:p>
        </w:tc>
        <w:tc>
          <w:tcPr>
            <w:tcW w:w="560" w:type="dxa"/>
            <w:tcBorders>
              <w:top w:val="nil"/>
              <w:left w:val="nil"/>
              <w:bottom w:val="single" w:sz="4" w:space="0" w:color="auto"/>
              <w:right w:val="single" w:sz="4" w:space="0" w:color="auto"/>
            </w:tcBorders>
            <w:shd w:val="clear" w:color="000000" w:fill="D9D9D9"/>
            <w:vAlign w:val="center"/>
            <w:hideMark/>
          </w:tcPr>
          <w:p w14:paraId="6AE121E4"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7</w:t>
            </w:r>
          </w:p>
        </w:tc>
      </w:tr>
      <w:tr w:rsidR="00621EF3" w:rsidRPr="00621EF3" w14:paraId="760683A8" w14:textId="77777777" w:rsidTr="00621EF3">
        <w:trPr>
          <w:trHeight w:val="240"/>
          <w:jc w:val="center"/>
        </w:trPr>
        <w:tc>
          <w:tcPr>
            <w:tcW w:w="592" w:type="dxa"/>
            <w:vMerge/>
            <w:tcBorders>
              <w:top w:val="nil"/>
              <w:left w:val="single" w:sz="4" w:space="0" w:color="auto"/>
              <w:bottom w:val="single" w:sz="4" w:space="0" w:color="auto"/>
              <w:right w:val="single" w:sz="4" w:space="0" w:color="auto"/>
            </w:tcBorders>
            <w:vAlign w:val="center"/>
            <w:hideMark/>
          </w:tcPr>
          <w:p w14:paraId="39A178DD" w14:textId="77777777" w:rsidR="00621EF3" w:rsidRPr="00621EF3" w:rsidRDefault="00621EF3" w:rsidP="00621EF3">
            <w:pPr>
              <w:overflowPunct/>
              <w:autoSpaceDE/>
              <w:autoSpaceDN/>
              <w:adjustRightInd/>
              <w:spacing w:after="0"/>
              <w:textAlignment w:val="auto"/>
              <w:rPr>
                <w:rFonts w:ascii="Calibri" w:hAnsi="Calibri" w:cs="Calibri"/>
                <w:color w:val="000000"/>
                <w:sz w:val="18"/>
                <w:szCs w:val="18"/>
                <w:lang w:val="en-US" w:eastAsia="en-US"/>
              </w:rPr>
            </w:pPr>
          </w:p>
        </w:tc>
        <w:tc>
          <w:tcPr>
            <w:tcW w:w="490" w:type="dxa"/>
            <w:tcBorders>
              <w:top w:val="nil"/>
              <w:left w:val="nil"/>
              <w:bottom w:val="single" w:sz="4" w:space="0" w:color="auto"/>
              <w:right w:val="single" w:sz="4" w:space="0" w:color="auto"/>
            </w:tcBorders>
            <w:shd w:val="clear" w:color="000000" w:fill="D9D9D9"/>
            <w:noWrap/>
            <w:vAlign w:val="center"/>
            <w:hideMark/>
          </w:tcPr>
          <w:p w14:paraId="02A6978C"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40</w:t>
            </w:r>
          </w:p>
        </w:tc>
        <w:tc>
          <w:tcPr>
            <w:tcW w:w="490" w:type="dxa"/>
            <w:tcBorders>
              <w:top w:val="nil"/>
              <w:left w:val="nil"/>
              <w:bottom w:val="single" w:sz="4" w:space="0" w:color="auto"/>
              <w:right w:val="single" w:sz="4" w:space="0" w:color="auto"/>
            </w:tcBorders>
            <w:shd w:val="clear" w:color="000000" w:fill="ED7D31"/>
            <w:noWrap/>
            <w:vAlign w:val="center"/>
            <w:hideMark/>
          </w:tcPr>
          <w:p w14:paraId="4C10807E"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80</w:t>
            </w:r>
          </w:p>
        </w:tc>
        <w:tc>
          <w:tcPr>
            <w:tcW w:w="536" w:type="dxa"/>
            <w:tcBorders>
              <w:top w:val="nil"/>
              <w:left w:val="nil"/>
              <w:bottom w:val="single" w:sz="4" w:space="0" w:color="auto"/>
              <w:right w:val="single" w:sz="4" w:space="0" w:color="auto"/>
            </w:tcBorders>
            <w:shd w:val="clear" w:color="000000" w:fill="F8CBAD"/>
            <w:noWrap/>
            <w:vAlign w:val="center"/>
            <w:hideMark/>
          </w:tcPr>
          <w:p w14:paraId="301E492E"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60</w:t>
            </w:r>
          </w:p>
        </w:tc>
        <w:tc>
          <w:tcPr>
            <w:tcW w:w="528" w:type="dxa"/>
            <w:tcBorders>
              <w:top w:val="nil"/>
              <w:left w:val="nil"/>
              <w:bottom w:val="single" w:sz="4" w:space="0" w:color="auto"/>
              <w:right w:val="single" w:sz="4" w:space="0" w:color="auto"/>
            </w:tcBorders>
            <w:shd w:val="clear" w:color="000000" w:fill="B4C6E7"/>
            <w:vAlign w:val="center"/>
            <w:hideMark/>
          </w:tcPr>
          <w:p w14:paraId="14EA274E"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106</w:t>
            </w:r>
          </w:p>
        </w:tc>
        <w:tc>
          <w:tcPr>
            <w:tcW w:w="689" w:type="dxa"/>
            <w:tcBorders>
              <w:top w:val="nil"/>
              <w:left w:val="nil"/>
              <w:bottom w:val="single" w:sz="4" w:space="0" w:color="auto"/>
              <w:right w:val="single" w:sz="4" w:space="0" w:color="auto"/>
            </w:tcBorders>
            <w:shd w:val="clear" w:color="000000" w:fill="DDEBF7"/>
            <w:vAlign w:val="center"/>
            <w:hideMark/>
          </w:tcPr>
          <w:p w14:paraId="75F29AA6"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53</w:t>
            </w:r>
          </w:p>
        </w:tc>
        <w:tc>
          <w:tcPr>
            <w:tcW w:w="490" w:type="dxa"/>
            <w:tcBorders>
              <w:top w:val="nil"/>
              <w:left w:val="nil"/>
              <w:bottom w:val="single" w:sz="4" w:space="0" w:color="auto"/>
              <w:right w:val="single" w:sz="4" w:space="0" w:color="auto"/>
            </w:tcBorders>
            <w:shd w:val="clear" w:color="000000" w:fill="00B050"/>
            <w:vAlign w:val="center"/>
            <w:hideMark/>
          </w:tcPr>
          <w:p w14:paraId="7723BECC"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212</w:t>
            </w:r>
          </w:p>
        </w:tc>
        <w:tc>
          <w:tcPr>
            <w:tcW w:w="522" w:type="dxa"/>
            <w:tcBorders>
              <w:top w:val="nil"/>
              <w:left w:val="nil"/>
              <w:bottom w:val="single" w:sz="4" w:space="0" w:color="auto"/>
              <w:right w:val="single" w:sz="4" w:space="0" w:color="auto"/>
            </w:tcBorders>
            <w:shd w:val="clear" w:color="000000" w:fill="00B050"/>
            <w:vAlign w:val="center"/>
            <w:hideMark/>
          </w:tcPr>
          <w:p w14:paraId="315B98EA"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159</w:t>
            </w:r>
          </w:p>
        </w:tc>
        <w:tc>
          <w:tcPr>
            <w:tcW w:w="560" w:type="dxa"/>
            <w:tcBorders>
              <w:top w:val="nil"/>
              <w:left w:val="nil"/>
              <w:bottom w:val="single" w:sz="4" w:space="0" w:color="auto"/>
              <w:right w:val="single" w:sz="4" w:space="0" w:color="auto"/>
            </w:tcBorders>
            <w:shd w:val="clear" w:color="000000" w:fill="D9D9D9"/>
            <w:vAlign w:val="center"/>
            <w:hideMark/>
          </w:tcPr>
          <w:p w14:paraId="220605C7"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46</w:t>
            </w:r>
          </w:p>
        </w:tc>
        <w:tc>
          <w:tcPr>
            <w:tcW w:w="560" w:type="dxa"/>
            <w:tcBorders>
              <w:top w:val="nil"/>
              <w:left w:val="nil"/>
              <w:bottom w:val="single" w:sz="4" w:space="0" w:color="auto"/>
              <w:right w:val="single" w:sz="4" w:space="0" w:color="auto"/>
            </w:tcBorders>
            <w:shd w:val="clear" w:color="000000" w:fill="D9D9D9"/>
            <w:vAlign w:val="center"/>
            <w:hideMark/>
          </w:tcPr>
          <w:p w14:paraId="5C1862AE"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38</w:t>
            </w:r>
          </w:p>
        </w:tc>
        <w:tc>
          <w:tcPr>
            <w:tcW w:w="560" w:type="dxa"/>
            <w:tcBorders>
              <w:top w:val="nil"/>
              <w:left w:val="nil"/>
              <w:bottom w:val="single" w:sz="4" w:space="0" w:color="auto"/>
              <w:right w:val="single" w:sz="4" w:space="0" w:color="auto"/>
            </w:tcBorders>
            <w:shd w:val="clear" w:color="000000" w:fill="D9D9D9"/>
            <w:vAlign w:val="center"/>
            <w:hideMark/>
          </w:tcPr>
          <w:p w14:paraId="2E8EA0AD"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31</w:t>
            </w:r>
          </w:p>
        </w:tc>
        <w:tc>
          <w:tcPr>
            <w:tcW w:w="560" w:type="dxa"/>
            <w:tcBorders>
              <w:top w:val="nil"/>
              <w:left w:val="nil"/>
              <w:bottom w:val="single" w:sz="4" w:space="0" w:color="auto"/>
              <w:right w:val="single" w:sz="4" w:space="0" w:color="auto"/>
            </w:tcBorders>
            <w:shd w:val="clear" w:color="000000" w:fill="D9D9D9"/>
            <w:vAlign w:val="center"/>
            <w:hideMark/>
          </w:tcPr>
          <w:p w14:paraId="30B6E32B"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23</w:t>
            </w:r>
          </w:p>
        </w:tc>
        <w:tc>
          <w:tcPr>
            <w:tcW w:w="560" w:type="dxa"/>
            <w:tcBorders>
              <w:top w:val="nil"/>
              <w:left w:val="nil"/>
              <w:bottom w:val="single" w:sz="4" w:space="0" w:color="auto"/>
              <w:right w:val="single" w:sz="4" w:space="0" w:color="auto"/>
            </w:tcBorders>
            <w:shd w:val="clear" w:color="000000" w:fill="D9D9D9"/>
            <w:vAlign w:val="center"/>
            <w:hideMark/>
          </w:tcPr>
          <w:p w14:paraId="7335A5AF"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16</w:t>
            </w:r>
          </w:p>
        </w:tc>
        <w:tc>
          <w:tcPr>
            <w:tcW w:w="560" w:type="dxa"/>
            <w:tcBorders>
              <w:top w:val="nil"/>
              <w:left w:val="nil"/>
              <w:bottom w:val="single" w:sz="4" w:space="0" w:color="auto"/>
              <w:right w:val="single" w:sz="4" w:space="0" w:color="auto"/>
            </w:tcBorders>
            <w:shd w:val="clear" w:color="000000" w:fill="D9D9D9"/>
            <w:vAlign w:val="center"/>
            <w:hideMark/>
          </w:tcPr>
          <w:p w14:paraId="6C222C33"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8</w:t>
            </w:r>
          </w:p>
        </w:tc>
      </w:tr>
      <w:tr w:rsidR="00621EF3" w:rsidRPr="00621EF3" w14:paraId="070AFAFC" w14:textId="77777777" w:rsidTr="00621EF3">
        <w:trPr>
          <w:trHeight w:val="240"/>
          <w:jc w:val="center"/>
        </w:trPr>
        <w:tc>
          <w:tcPr>
            <w:tcW w:w="592" w:type="dxa"/>
            <w:vMerge/>
            <w:tcBorders>
              <w:top w:val="nil"/>
              <w:left w:val="single" w:sz="4" w:space="0" w:color="auto"/>
              <w:bottom w:val="single" w:sz="4" w:space="0" w:color="auto"/>
              <w:right w:val="single" w:sz="4" w:space="0" w:color="auto"/>
            </w:tcBorders>
            <w:vAlign w:val="center"/>
            <w:hideMark/>
          </w:tcPr>
          <w:p w14:paraId="72F5A9DB" w14:textId="77777777" w:rsidR="00621EF3" w:rsidRPr="00621EF3" w:rsidRDefault="00621EF3" w:rsidP="00621EF3">
            <w:pPr>
              <w:overflowPunct/>
              <w:autoSpaceDE/>
              <w:autoSpaceDN/>
              <w:adjustRightInd/>
              <w:spacing w:after="0"/>
              <w:textAlignment w:val="auto"/>
              <w:rPr>
                <w:rFonts w:ascii="Calibri" w:hAnsi="Calibri" w:cs="Calibri"/>
                <w:color w:val="000000"/>
                <w:sz w:val="18"/>
                <w:szCs w:val="18"/>
                <w:lang w:val="en-US" w:eastAsia="en-US"/>
              </w:rPr>
            </w:pPr>
          </w:p>
        </w:tc>
        <w:tc>
          <w:tcPr>
            <w:tcW w:w="490" w:type="dxa"/>
            <w:tcBorders>
              <w:top w:val="nil"/>
              <w:left w:val="nil"/>
              <w:bottom w:val="single" w:sz="4" w:space="0" w:color="auto"/>
              <w:right w:val="single" w:sz="4" w:space="0" w:color="auto"/>
            </w:tcBorders>
            <w:shd w:val="clear" w:color="000000" w:fill="BFBFBF"/>
            <w:noWrap/>
            <w:vAlign w:val="center"/>
            <w:hideMark/>
          </w:tcPr>
          <w:p w14:paraId="55823111"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45</w:t>
            </w:r>
          </w:p>
        </w:tc>
        <w:tc>
          <w:tcPr>
            <w:tcW w:w="490" w:type="dxa"/>
            <w:tcBorders>
              <w:top w:val="nil"/>
              <w:left w:val="nil"/>
              <w:bottom w:val="single" w:sz="4" w:space="0" w:color="auto"/>
              <w:right w:val="single" w:sz="4" w:space="0" w:color="auto"/>
            </w:tcBorders>
            <w:shd w:val="clear" w:color="000000" w:fill="C65911"/>
            <w:noWrap/>
            <w:vAlign w:val="center"/>
            <w:hideMark/>
          </w:tcPr>
          <w:p w14:paraId="7EA13269"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90</w:t>
            </w:r>
          </w:p>
        </w:tc>
        <w:tc>
          <w:tcPr>
            <w:tcW w:w="536" w:type="dxa"/>
            <w:tcBorders>
              <w:top w:val="nil"/>
              <w:left w:val="nil"/>
              <w:bottom w:val="single" w:sz="4" w:space="0" w:color="auto"/>
              <w:right w:val="single" w:sz="4" w:space="0" w:color="auto"/>
            </w:tcBorders>
            <w:shd w:val="clear" w:color="000000" w:fill="F4B084"/>
            <w:noWrap/>
            <w:vAlign w:val="center"/>
            <w:hideMark/>
          </w:tcPr>
          <w:p w14:paraId="0917F32A"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67.5</w:t>
            </w:r>
          </w:p>
        </w:tc>
        <w:tc>
          <w:tcPr>
            <w:tcW w:w="528" w:type="dxa"/>
            <w:tcBorders>
              <w:top w:val="nil"/>
              <w:left w:val="nil"/>
              <w:bottom w:val="single" w:sz="4" w:space="0" w:color="auto"/>
              <w:right w:val="single" w:sz="4" w:space="0" w:color="auto"/>
            </w:tcBorders>
            <w:shd w:val="clear" w:color="000000" w:fill="B4C6E7"/>
            <w:vAlign w:val="center"/>
            <w:hideMark/>
          </w:tcPr>
          <w:p w14:paraId="76D84009"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119</w:t>
            </w:r>
          </w:p>
        </w:tc>
        <w:tc>
          <w:tcPr>
            <w:tcW w:w="689" w:type="dxa"/>
            <w:tcBorders>
              <w:top w:val="nil"/>
              <w:left w:val="nil"/>
              <w:bottom w:val="single" w:sz="4" w:space="0" w:color="auto"/>
              <w:right w:val="single" w:sz="4" w:space="0" w:color="auto"/>
            </w:tcBorders>
            <w:shd w:val="clear" w:color="000000" w:fill="DDEBF7"/>
            <w:vAlign w:val="center"/>
            <w:hideMark/>
          </w:tcPr>
          <w:p w14:paraId="611D98CC"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60</w:t>
            </w:r>
          </w:p>
        </w:tc>
        <w:tc>
          <w:tcPr>
            <w:tcW w:w="490" w:type="dxa"/>
            <w:tcBorders>
              <w:top w:val="nil"/>
              <w:left w:val="nil"/>
              <w:bottom w:val="single" w:sz="4" w:space="0" w:color="auto"/>
              <w:right w:val="single" w:sz="4" w:space="0" w:color="auto"/>
            </w:tcBorders>
            <w:shd w:val="clear" w:color="000000" w:fill="00B050"/>
            <w:vAlign w:val="center"/>
            <w:hideMark/>
          </w:tcPr>
          <w:p w14:paraId="477BA9F1"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239</w:t>
            </w:r>
          </w:p>
        </w:tc>
        <w:tc>
          <w:tcPr>
            <w:tcW w:w="522" w:type="dxa"/>
            <w:tcBorders>
              <w:top w:val="nil"/>
              <w:left w:val="nil"/>
              <w:bottom w:val="single" w:sz="4" w:space="0" w:color="auto"/>
              <w:right w:val="single" w:sz="4" w:space="0" w:color="auto"/>
            </w:tcBorders>
            <w:shd w:val="clear" w:color="000000" w:fill="00B050"/>
            <w:vAlign w:val="center"/>
            <w:hideMark/>
          </w:tcPr>
          <w:p w14:paraId="6E33689A"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179</w:t>
            </w:r>
          </w:p>
        </w:tc>
        <w:tc>
          <w:tcPr>
            <w:tcW w:w="560" w:type="dxa"/>
            <w:tcBorders>
              <w:top w:val="nil"/>
              <w:left w:val="nil"/>
              <w:bottom w:val="single" w:sz="4" w:space="0" w:color="auto"/>
              <w:right w:val="single" w:sz="4" w:space="0" w:color="auto"/>
            </w:tcBorders>
            <w:shd w:val="clear" w:color="000000" w:fill="D9D9D9"/>
            <w:vAlign w:val="center"/>
            <w:hideMark/>
          </w:tcPr>
          <w:p w14:paraId="4540C4EB"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51</w:t>
            </w:r>
          </w:p>
        </w:tc>
        <w:tc>
          <w:tcPr>
            <w:tcW w:w="560" w:type="dxa"/>
            <w:tcBorders>
              <w:top w:val="nil"/>
              <w:left w:val="nil"/>
              <w:bottom w:val="single" w:sz="4" w:space="0" w:color="auto"/>
              <w:right w:val="single" w:sz="4" w:space="0" w:color="auto"/>
            </w:tcBorders>
            <w:shd w:val="clear" w:color="000000" w:fill="D9D9D9"/>
            <w:vAlign w:val="center"/>
            <w:hideMark/>
          </w:tcPr>
          <w:p w14:paraId="60CF57A4"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43</w:t>
            </w:r>
          </w:p>
        </w:tc>
        <w:tc>
          <w:tcPr>
            <w:tcW w:w="560" w:type="dxa"/>
            <w:tcBorders>
              <w:top w:val="nil"/>
              <w:left w:val="nil"/>
              <w:bottom w:val="single" w:sz="4" w:space="0" w:color="auto"/>
              <w:right w:val="single" w:sz="4" w:space="0" w:color="auto"/>
            </w:tcBorders>
            <w:shd w:val="clear" w:color="000000" w:fill="D9D9D9"/>
            <w:vAlign w:val="center"/>
            <w:hideMark/>
          </w:tcPr>
          <w:p w14:paraId="0D621A7A"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34</w:t>
            </w:r>
          </w:p>
        </w:tc>
        <w:tc>
          <w:tcPr>
            <w:tcW w:w="560" w:type="dxa"/>
            <w:tcBorders>
              <w:top w:val="nil"/>
              <w:left w:val="nil"/>
              <w:bottom w:val="single" w:sz="4" w:space="0" w:color="auto"/>
              <w:right w:val="single" w:sz="4" w:space="0" w:color="auto"/>
            </w:tcBorders>
            <w:shd w:val="clear" w:color="000000" w:fill="D9D9D9"/>
            <w:vAlign w:val="center"/>
            <w:hideMark/>
          </w:tcPr>
          <w:p w14:paraId="079E8361"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26</w:t>
            </w:r>
          </w:p>
        </w:tc>
        <w:tc>
          <w:tcPr>
            <w:tcW w:w="560" w:type="dxa"/>
            <w:tcBorders>
              <w:top w:val="nil"/>
              <w:left w:val="nil"/>
              <w:bottom w:val="single" w:sz="4" w:space="0" w:color="auto"/>
              <w:right w:val="single" w:sz="4" w:space="0" w:color="auto"/>
            </w:tcBorders>
            <w:shd w:val="clear" w:color="000000" w:fill="D9D9D9"/>
            <w:vAlign w:val="center"/>
            <w:hideMark/>
          </w:tcPr>
          <w:p w14:paraId="6722D789"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17</w:t>
            </w:r>
          </w:p>
        </w:tc>
        <w:tc>
          <w:tcPr>
            <w:tcW w:w="560" w:type="dxa"/>
            <w:tcBorders>
              <w:top w:val="nil"/>
              <w:left w:val="nil"/>
              <w:bottom w:val="single" w:sz="4" w:space="0" w:color="auto"/>
              <w:right w:val="single" w:sz="4" w:space="0" w:color="auto"/>
            </w:tcBorders>
            <w:shd w:val="clear" w:color="000000" w:fill="D9D9D9"/>
            <w:vAlign w:val="center"/>
            <w:hideMark/>
          </w:tcPr>
          <w:p w14:paraId="3EB37E8F"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9</w:t>
            </w:r>
          </w:p>
        </w:tc>
      </w:tr>
      <w:tr w:rsidR="00621EF3" w:rsidRPr="00621EF3" w14:paraId="317D0BE5" w14:textId="77777777" w:rsidTr="00621EF3">
        <w:trPr>
          <w:trHeight w:val="240"/>
          <w:jc w:val="center"/>
        </w:trPr>
        <w:tc>
          <w:tcPr>
            <w:tcW w:w="592" w:type="dxa"/>
            <w:vMerge/>
            <w:tcBorders>
              <w:top w:val="nil"/>
              <w:left w:val="single" w:sz="4" w:space="0" w:color="auto"/>
              <w:bottom w:val="single" w:sz="4" w:space="0" w:color="auto"/>
              <w:right w:val="single" w:sz="4" w:space="0" w:color="auto"/>
            </w:tcBorders>
            <w:vAlign w:val="center"/>
            <w:hideMark/>
          </w:tcPr>
          <w:p w14:paraId="4B4B5084" w14:textId="77777777" w:rsidR="00621EF3" w:rsidRPr="00621EF3" w:rsidRDefault="00621EF3" w:rsidP="00621EF3">
            <w:pPr>
              <w:overflowPunct/>
              <w:autoSpaceDE/>
              <w:autoSpaceDN/>
              <w:adjustRightInd/>
              <w:spacing w:after="0"/>
              <w:textAlignment w:val="auto"/>
              <w:rPr>
                <w:rFonts w:ascii="Calibri" w:hAnsi="Calibri" w:cs="Calibri"/>
                <w:color w:val="000000"/>
                <w:sz w:val="18"/>
                <w:szCs w:val="18"/>
                <w:lang w:val="en-US" w:eastAsia="en-US"/>
              </w:rPr>
            </w:pPr>
          </w:p>
        </w:tc>
        <w:tc>
          <w:tcPr>
            <w:tcW w:w="490" w:type="dxa"/>
            <w:tcBorders>
              <w:top w:val="nil"/>
              <w:left w:val="nil"/>
              <w:bottom w:val="single" w:sz="4" w:space="0" w:color="auto"/>
              <w:right w:val="single" w:sz="4" w:space="0" w:color="auto"/>
            </w:tcBorders>
            <w:shd w:val="clear" w:color="000000" w:fill="FCE4D6"/>
            <w:noWrap/>
            <w:vAlign w:val="center"/>
            <w:hideMark/>
          </w:tcPr>
          <w:p w14:paraId="235CAFEC"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50</w:t>
            </w:r>
          </w:p>
        </w:tc>
        <w:tc>
          <w:tcPr>
            <w:tcW w:w="490" w:type="dxa"/>
            <w:tcBorders>
              <w:top w:val="nil"/>
              <w:left w:val="nil"/>
              <w:bottom w:val="single" w:sz="4" w:space="0" w:color="auto"/>
              <w:right w:val="single" w:sz="4" w:space="0" w:color="auto"/>
            </w:tcBorders>
            <w:shd w:val="clear" w:color="000000" w:fill="833C0C"/>
            <w:noWrap/>
            <w:vAlign w:val="center"/>
            <w:hideMark/>
          </w:tcPr>
          <w:p w14:paraId="35D5ADA7" w14:textId="77777777" w:rsidR="00621EF3" w:rsidRPr="00621EF3" w:rsidRDefault="00621EF3" w:rsidP="00621EF3">
            <w:pPr>
              <w:overflowPunct/>
              <w:autoSpaceDE/>
              <w:autoSpaceDN/>
              <w:adjustRightInd/>
              <w:spacing w:after="0"/>
              <w:jc w:val="center"/>
              <w:textAlignment w:val="auto"/>
              <w:rPr>
                <w:rFonts w:ascii="Calibri" w:hAnsi="Calibri" w:cs="Calibri"/>
                <w:b/>
                <w:bCs/>
                <w:color w:val="000000"/>
                <w:sz w:val="18"/>
                <w:szCs w:val="18"/>
                <w:lang w:val="en-US" w:eastAsia="en-US"/>
              </w:rPr>
            </w:pPr>
            <w:r w:rsidRPr="00621EF3">
              <w:rPr>
                <w:rFonts w:ascii="Calibri" w:hAnsi="Calibri" w:cs="Calibri"/>
                <w:b/>
                <w:bCs/>
                <w:color w:val="000000"/>
                <w:sz w:val="18"/>
                <w:szCs w:val="18"/>
                <w:lang w:val="en-US" w:eastAsia="en-US"/>
              </w:rPr>
              <w:t>100</w:t>
            </w:r>
          </w:p>
        </w:tc>
        <w:tc>
          <w:tcPr>
            <w:tcW w:w="536" w:type="dxa"/>
            <w:tcBorders>
              <w:top w:val="nil"/>
              <w:left w:val="nil"/>
              <w:bottom w:val="single" w:sz="4" w:space="0" w:color="auto"/>
              <w:right w:val="single" w:sz="4" w:space="0" w:color="auto"/>
            </w:tcBorders>
            <w:shd w:val="clear" w:color="000000" w:fill="F4B084"/>
            <w:noWrap/>
            <w:vAlign w:val="center"/>
            <w:hideMark/>
          </w:tcPr>
          <w:p w14:paraId="6173ACFE"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75</w:t>
            </w:r>
          </w:p>
        </w:tc>
        <w:tc>
          <w:tcPr>
            <w:tcW w:w="528" w:type="dxa"/>
            <w:tcBorders>
              <w:top w:val="nil"/>
              <w:left w:val="nil"/>
              <w:bottom w:val="single" w:sz="4" w:space="0" w:color="auto"/>
              <w:right w:val="single" w:sz="4" w:space="0" w:color="auto"/>
            </w:tcBorders>
            <w:shd w:val="clear" w:color="000000" w:fill="B4C6E7"/>
            <w:vAlign w:val="center"/>
            <w:hideMark/>
          </w:tcPr>
          <w:p w14:paraId="2DC0777F"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133</w:t>
            </w:r>
          </w:p>
        </w:tc>
        <w:tc>
          <w:tcPr>
            <w:tcW w:w="689" w:type="dxa"/>
            <w:tcBorders>
              <w:top w:val="nil"/>
              <w:left w:val="nil"/>
              <w:bottom w:val="single" w:sz="4" w:space="0" w:color="auto"/>
              <w:right w:val="single" w:sz="4" w:space="0" w:color="auto"/>
            </w:tcBorders>
            <w:shd w:val="clear" w:color="000000" w:fill="DDEBF7"/>
            <w:vAlign w:val="center"/>
            <w:hideMark/>
          </w:tcPr>
          <w:p w14:paraId="4BB51A34"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67</w:t>
            </w:r>
          </w:p>
        </w:tc>
        <w:tc>
          <w:tcPr>
            <w:tcW w:w="490" w:type="dxa"/>
            <w:tcBorders>
              <w:top w:val="nil"/>
              <w:left w:val="nil"/>
              <w:bottom w:val="single" w:sz="4" w:space="0" w:color="auto"/>
              <w:right w:val="single" w:sz="4" w:space="0" w:color="auto"/>
            </w:tcBorders>
            <w:shd w:val="clear" w:color="000000" w:fill="00B050"/>
            <w:vAlign w:val="center"/>
            <w:hideMark/>
          </w:tcPr>
          <w:p w14:paraId="7DBB1946"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267</w:t>
            </w:r>
          </w:p>
        </w:tc>
        <w:tc>
          <w:tcPr>
            <w:tcW w:w="522" w:type="dxa"/>
            <w:tcBorders>
              <w:top w:val="nil"/>
              <w:left w:val="nil"/>
              <w:bottom w:val="single" w:sz="4" w:space="0" w:color="auto"/>
              <w:right w:val="single" w:sz="4" w:space="0" w:color="auto"/>
            </w:tcBorders>
            <w:shd w:val="clear" w:color="000000" w:fill="00B050"/>
            <w:vAlign w:val="center"/>
            <w:hideMark/>
          </w:tcPr>
          <w:p w14:paraId="0DC59136"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200</w:t>
            </w:r>
          </w:p>
        </w:tc>
        <w:tc>
          <w:tcPr>
            <w:tcW w:w="560" w:type="dxa"/>
            <w:tcBorders>
              <w:top w:val="nil"/>
              <w:left w:val="nil"/>
              <w:bottom w:val="single" w:sz="4" w:space="0" w:color="auto"/>
              <w:right w:val="single" w:sz="4" w:space="0" w:color="auto"/>
            </w:tcBorders>
            <w:shd w:val="clear" w:color="000000" w:fill="D9D9D9"/>
            <w:vAlign w:val="center"/>
            <w:hideMark/>
          </w:tcPr>
          <w:p w14:paraId="6F6084FA"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57</w:t>
            </w:r>
          </w:p>
        </w:tc>
        <w:tc>
          <w:tcPr>
            <w:tcW w:w="560" w:type="dxa"/>
            <w:tcBorders>
              <w:top w:val="nil"/>
              <w:left w:val="nil"/>
              <w:bottom w:val="single" w:sz="4" w:space="0" w:color="auto"/>
              <w:right w:val="single" w:sz="4" w:space="0" w:color="auto"/>
            </w:tcBorders>
            <w:shd w:val="clear" w:color="000000" w:fill="D9D9D9"/>
            <w:vAlign w:val="center"/>
            <w:hideMark/>
          </w:tcPr>
          <w:p w14:paraId="64DA6C25"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48</w:t>
            </w:r>
          </w:p>
        </w:tc>
        <w:tc>
          <w:tcPr>
            <w:tcW w:w="560" w:type="dxa"/>
            <w:tcBorders>
              <w:top w:val="nil"/>
              <w:left w:val="nil"/>
              <w:bottom w:val="single" w:sz="4" w:space="0" w:color="auto"/>
              <w:right w:val="single" w:sz="4" w:space="0" w:color="auto"/>
            </w:tcBorders>
            <w:shd w:val="clear" w:color="000000" w:fill="D9D9D9"/>
            <w:vAlign w:val="center"/>
            <w:hideMark/>
          </w:tcPr>
          <w:p w14:paraId="2A73B510"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38</w:t>
            </w:r>
          </w:p>
        </w:tc>
        <w:tc>
          <w:tcPr>
            <w:tcW w:w="560" w:type="dxa"/>
            <w:tcBorders>
              <w:top w:val="nil"/>
              <w:left w:val="nil"/>
              <w:bottom w:val="single" w:sz="4" w:space="0" w:color="auto"/>
              <w:right w:val="single" w:sz="4" w:space="0" w:color="auto"/>
            </w:tcBorders>
            <w:shd w:val="clear" w:color="000000" w:fill="D9D9D9"/>
            <w:vAlign w:val="center"/>
            <w:hideMark/>
          </w:tcPr>
          <w:p w14:paraId="33F5F6B0"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29</w:t>
            </w:r>
          </w:p>
        </w:tc>
        <w:tc>
          <w:tcPr>
            <w:tcW w:w="560" w:type="dxa"/>
            <w:tcBorders>
              <w:top w:val="nil"/>
              <w:left w:val="nil"/>
              <w:bottom w:val="single" w:sz="4" w:space="0" w:color="auto"/>
              <w:right w:val="single" w:sz="4" w:space="0" w:color="auto"/>
            </w:tcBorders>
            <w:shd w:val="clear" w:color="000000" w:fill="D9D9D9"/>
            <w:vAlign w:val="center"/>
            <w:hideMark/>
          </w:tcPr>
          <w:p w14:paraId="7E058989"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19</w:t>
            </w:r>
          </w:p>
        </w:tc>
        <w:tc>
          <w:tcPr>
            <w:tcW w:w="560" w:type="dxa"/>
            <w:tcBorders>
              <w:top w:val="nil"/>
              <w:left w:val="nil"/>
              <w:bottom w:val="single" w:sz="4" w:space="0" w:color="auto"/>
              <w:right w:val="single" w:sz="4" w:space="0" w:color="auto"/>
            </w:tcBorders>
            <w:shd w:val="clear" w:color="000000" w:fill="D9D9D9"/>
            <w:vAlign w:val="center"/>
            <w:hideMark/>
          </w:tcPr>
          <w:p w14:paraId="357A578A"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10</w:t>
            </w:r>
          </w:p>
        </w:tc>
      </w:tr>
      <w:tr w:rsidR="00621EF3" w:rsidRPr="00621EF3" w14:paraId="699CF630" w14:textId="77777777" w:rsidTr="00621EF3">
        <w:trPr>
          <w:trHeight w:val="240"/>
          <w:jc w:val="center"/>
        </w:trPr>
        <w:tc>
          <w:tcPr>
            <w:tcW w:w="592" w:type="dxa"/>
            <w:vMerge/>
            <w:tcBorders>
              <w:top w:val="nil"/>
              <w:left w:val="single" w:sz="4" w:space="0" w:color="auto"/>
              <w:bottom w:val="single" w:sz="4" w:space="0" w:color="auto"/>
              <w:right w:val="single" w:sz="4" w:space="0" w:color="auto"/>
            </w:tcBorders>
            <w:vAlign w:val="center"/>
            <w:hideMark/>
          </w:tcPr>
          <w:p w14:paraId="253E23F7" w14:textId="77777777" w:rsidR="00621EF3" w:rsidRPr="00621EF3" w:rsidRDefault="00621EF3" w:rsidP="00621EF3">
            <w:pPr>
              <w:overflowPunct/>
              <w:autoSpaceDE/>
              <w:autoSpaceDN/>
              <w:adjustRightInd/>
              <w:spacing w:after="0"/>
              <w:textAlignment w:val="auto"/>
              <w:rPr>
                <w:rFonts w:ascii="Calibri" w:hAnsi="Calibri" w:cs="Calibri"/>
                <w:color w:val="000000"/>
                <w:sz w:val="18"/>
                <w:szCs w:val="18"/>
                <w:lang w:val="en-US" w:eastAsia="en-US"/>
              </w:rPr>
            </w:pPr>
          </w:p>
        </w:tc>
        <w:tc>
          <w:tcPr>
            <w:tcW w:w="490" w:type="dxa"/>
            <w:tcBorders>
              <w:top w:val="nil"/>
              <w:left w:val="nil"/>
              <w:bottom w:val="single" w:sz="4" w:space="0" w:color="auto"/>
              <w:right w:val="single" w:sz="4" w:space="0" w:color="auto"/>
            </w:tcBorders>
            <w:shd w:val="clear" w:color="000000" w:fill="F8CBAD"/>
            <w:noWrap/>
            <w:vAlign w:val="center"/>
            <w:hideMark/>
          </w:tcPr>
          <w:p w14:paraId="5BF6710D"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60</w:t>
            </w:r>
          </w:p>
        </w:tc>
        <w:tc>
          <w:tcPr>
            <w:tcW w:w="490" w:type="dxa"/>
            <w:tcBorders>
              <w:top w:val="nil"/>
              <w:left w:val="nil"/>
              <w:bottom w:val="single" w:sz="4" w:space="0" w:color="auto"/>
              <w:right w:val="single" w:sz="4" w:space="0" w:color="auto"/>
            </w:tcBorders>
            <w:shd w:val="clear" w:color="auto" w:fill="auto"/>
            <w:noWrap/>
            <w:vAlign w:val="center"/>
            <w:hideMark/>
          </w:tcPr>
          <w:p w14:paraId="185BF404"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120</w:t>
            </w:r>
          </w:p>
        </w:tc>
        <w:tc>
          <w:tcPr>
            <w:tcW w:w="536" w:type="dxa"/>
            <w:tcBorders>
              <w:top w:val="nil"/>
              <w:left w:val="nil"/>
              <w:bottom w:val="single" w:sz="4" w:space="0" w:color="auto"/>
              <w:right w:val="single" w:sz="4" w:space="0" w:color="auto"/>
            </w:tcBorders>
            <w:shd w:val="clear" w:color="000000" w:fill="C65911"/>
            <w:noWrap/>
            <w:vAlign w:val="center"/>
            <w:hideMark/>
          </w:tcPr>
          <w:p w14:paraId="1AACED56"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90</w:t>
            </w:r>
          </w:p>
        </w:tc>
        <w:tc>
          <w:tcPr>
            <w:tcW w:w="528" w:type="dxa"/>
            <w:tcBorders>
              <w:top w:val="nil"/>
              <w:left w:val="nil"/>
              <w:bottom w:val="single" w:sz="4" w:space="0" w:color="auto"/>
              <w:right w:val="single" w:sz="4" w:space="0" w:color="auto"/>
            </w:tcBorders>
            <w:shd w:val="clear" w:color="000000" w:fill="B4C6E7"/>
            <w:vAlign w:val="center"/>
            <w:hideMark/>
          </w:tcPr>
          <w:p w14:paraId="7719B256"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162</w:t>
            </w:r>
          </w:p>
        </w:tc>
        <w:tc>
          <w:tcPr>
            <w:tcW w:w="689" w:type="dxa"/>
            <w:tcBorders>
              <w:top w:val="nil"/>
              <w:left w:val="nil"/>
              <w:bottom w:val="single" w:sz="4" w:space="0" w:color="auto"/>
              <w:right w:val="single" w:sz="4" w:space="0" w:color="auto"/>
            </w:tcBorders>
            <w:shd w:val="clear" w:color="000000" w:fill="DDEBF7"/>
            <w:vAlign w:val="center"/>
            <w:hideMark/>
          </w:tcPr>
          <w:p w14:paraId="2FDB92FE"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81</w:t>
            </w:r>
          </w:p>
        </w:tc>
        <w:tc>
          <w:tcPr>
            <w:tcW w:w="490" w:type="dxa"/>
            <w:tcBorders>
              <w:top w:val="nil"/>
              <w:left w:val="nil"/>
              <w:bottom w:val="single" w:sz="4" w:space="0" w:color="auto"/>
              <w:right w:val="single" w:sz="4" w:space="0" w:color="auto"/>
            </w:tcBorders>
            <w:shd w:val="clear" w:color="auto" w:fill="auto"/>
            <w:vAlign w:val="center"/>
            <w:hideMark/>
          </w:tcPr>
          <w:p w14:paraId="15A2D698"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324</w:t>
            </w:r>
          </w:p>
        </w:tc>
        <w:tc>
          <w:tcPr>
            <w:tcW w:w="522" w:type="dxa"/>
            <w:tcBorders>
              <w:top w:val="nil"/>
              <w:left w:val="nil"/>
              <w:bottom w:val="single" w:sz="4" w:space="0" w:color="auto"/>
              <w:right w:val="single" w:sz="4" w:space="0" w:color="auto"/>
            </w:tcBorders>
            <w:shd w:val="clear" w:color="000000" w:fill="00B050"/>
            <w:vAlign w:val="center"/>
            <w:hideMark/>
          </w:tcPr>
          <w:p w14:paraId="230F412A"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243</w:t>
            </w:r>
          </w:p>
        </w:tc>
        <w:tc>
          <w:tcPr>
            <w:tcW w:w="560" w:type="dxa"/>
            <w:tcBorders>
              <w:top w:val="nil"/>
              <w:left w:val="nil"/>
              <w:bottom w:val="single" w:sz="4" w:space="0" w:color="auto"/>
              <w:right w:val="single" w:sz="4" w:space="0" w:color="auto"/>
            </w:tcBorders>
            <w:shd w:val="clear" w:color="000000" w:fill="D9D9D9"/>
            <w:vAlign w:val="center"/>
            <w:hideMark/>
          </w:tcPr>
          <w:p w14:paraId="1B43A7BA"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70</w:t>
            </w:r>
          </w:p>
        </w:tc>
        <w:tc>
          <w:tcPr>
            <w:tcW w:w="560" w:type="dxa"/>
            <w:tcBorders>
              <w:top w:val="nil"/>
              <w:left w:val="nil"/>
              <w:bottom w:val="single" w:sz="4" w:space="0" w:color="auto"/>
              <w:right w:val="single" w:sz="4" w:space="0" w:color="auto"/>
            </w:tcBorders>
            <w:shd w:val="clear" w:color="000000" w:fill="D9D9D9"/>
            <w:vAlign w:val="center"/>
            <w:hideMark/>
          </w:tcPr>
          <w:p w14:paraId="0D863848"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58</w:t>
            </w:r>
          </w:p>
        </w:tc>
        <w:tc>
          <w:tcPr>
            <w:tcW w:w="560" w:type="dxa"/>
            <w:tcBorders>
              <w:top w:val="nil"/>
              <w:left w:val="nil"/>
              <w:bottom w:val="single" w:sz="4" w:space="0" w:color="auto"/>
              <w:right w:val="single" w:sz="4" w:space="0" w:color="auto"/>
            </w:tcBorders>
            <w:shd w:val="clear" w:color="000000" w:fill="D9D9D9"/>
            <w:vAlign w:val="center"/>
            <w:hideMark/>
          </w:tcPr>
          <w:p w14:paraId="7129CDFD"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47</w:t>
            </w:r>
          </w:p>
        </w:tc>
        <w:tc>
          <w:tcPr>
            <w:tcW w:w="560" w:type="dxa"/>
            <w:tcBorders>
              <w:top w:val="nil"/>
              <w:left w:val="nil"/>
              <w:bottom w:val="single" w:sz="4" w:space="0" w:color="auto"/>
              <w:right w:val="single" w:sz="4" w:space="0" w:color="auto"/>
            </w:tcBorders>
            <w:shd w:val="clear" w:color="000000" w:fill="D9D9D9"/>
            <w:vAlign w:val="center"/>
            <w:hideMark/>
          </w:tcPr>
          <w:p w14:paraId="6BD046B6"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35</w:t>
            </w:r>
          </w:p>
        </w:tc>
        <w:tc>
          <w:tcPr>
            <w:tcW w:w="560" w:type="dxa"/>
            <w:tcBorders>
              <w:top w:val="nil"/>
              <w:left w:val="nil"/>
              <w:bottom w:val="single" w:sz="4" w:space="0" w:color="auto"/>
              <w:right w:val="single" w:sz="4" w:space="0" w:color="auto"/>
            </w:tcBorders>
            <w:shd w:val="clear" w:color="000000" w:fill="D9D9D9"/>
            <w:vAlign w:val="center"/>
            <w:hideMark/>
          </w:tcPr>
          <w:p w14:paraId="3035B239"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24</w:t>
            </w:r>
          </w:p>
        </w:tc>
        <w:tc>
          <w:tcPr>
            <w:tcW w:w="560" w:type="dxa"/>
            <w:tcBorders>
              <w:top w:val="nil"/>
              <w:left w:val="nil"/>
              <w:bottom w:val="single" w:sz="4" w:space="0" w:color="auto"/>
              <w:right w:val="single" w:sz="4" w:space="0" w:color="auto"/>
            </w:tcBorders>
            <w:shd w:val="clear" w:color="000000" w:fill="D9D9D9"/>
            <w:vAlign w:val="center"/>
            <w:hideMark/>
          </w:tcPr>
          <w:p w14:paraId="17030329"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12</w:t>
            </w:r>
          </w:p>
        </w:tc>
      </w:tr>
      <w:tr w:rsidR="00621EF3" w:rsidRPr="00621EF3" w14:paraId="03D236D0" w14:textId="77777777" w:rsidTr="00621EF3">
        <w:trPr>
          <w:trHeight w:val="240"/>
          <w:jc w:val="center"/>
        </w:trPr>
        <w:tc>
          <w:tcPr>
            <w:tcW w:w="592" w:type="dxa"/>
            <w:vMerge/>
            <w:tcBorders>
              <w:top w:val="nil"/>
              <w:left w:val="single" w:sz="4" w:space="0" w:color="auto"/>
              <w:bottom w:val="single" w:sz="4" w:space="0" w:color="auto"/>
              <w:right w:val="single" w:sz="4" w:space="0" w:color="auto"/>
            </w:tcBorders>
            <w:vAlign w:val="center"/>
            <w:hideMark/>
          </w:tcPr>
          <w:p w14:paraId="459D756A" w14:textId="77777777" w:rsidR="00621EF3" w:rsidRPr="00621EF3" w:rsidRDefault="00621EF3" w:rsidP="00621EF3">
            <w:pPr>
              <w:overflowPunct/>
              <w:autoSpaceDE/>
              <w:autoSpaceDN/>
              <w:adjustRightInd/>
              <w:spacing w:after="0"/>
              <w:textAlignment w:val="auto"/>
              <w:rPr>
                <w:rFonts w:ascii="Calibri" w:hAnsi="Calibri" w:cs="Calibri"/>
                <w:color w:val="000000"/>
                <w:sz w:val="18"/>
                <w:szCs w:val="18"/>
                <w:lang w:val="en-US" w:eastAsia="en-US"/>
              </w:rPr>
            </w:pPr>
          </w:p>
        </w:tc>
        <w:tc>
          <w:tcPr>
            <w:tcW w:w="490" w:type="dxa"/>
            <w:tcBorders>
              <w:top w:val="nil"/>
              <w:left w:val="nil"/>
              <w:bottom w:val="single" w:sz="4" w:space="0" w:color="auto"/>
              <w:right w:val="single" w:sz="4" w:space="0" w:color="auto"/>
            </w:tcBorders>
            <w:shd w:val="clear" w:color="000000" w:fill="F4B084"/>
            <w:noWrap/>
            <w:vAlign w:val="center"/>
            <w:hideMark/>
          </w:tcPr>
          <w:p w14:paraId="44AE4584"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70</w:t>
            </w:r>
          </w:p>
        </w:tc>
        <w:tc>
          <w:tcPr>
            <w:tcW w:w="490" w:type="dxa"/>
            <w:tcBorders>
              <w:top w:val="nil"/>
              <w:left w:val="nil"/>
              <w:bottom w:val="single" w:sz="4" w:space="0" w:color="auto"/>
              <w:right w:val="single" w:sz="4" w:space="0" w:color="auto"/>
            </w:tcBorders>
            <w:shd w:val="clear" w:color="auto" w:fill="auto"/>
            <w:noWrap/>
            <w:vAlign w:val="center"/>
            <w:hideMark/>
          </w:tcPr>
          <w:p w14:paraId="6CADA2E8"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140</w:t>
            </w:r>
          </w:p>
        </w:tc>
        <w:tc>
          <w:tcPr>
            <w:tcW w:w="536" w:type="dxa"/>
            <w:tcBorders>
              <w:top w:val="nil"/>
              <w:left w:val="nil"/>
              <w:bottom w:val="single" w:sz="4" w:space="0" w:color="auto"/>
              <w:right w:val="single" w:sz="4" w:space="0" w:color="auto"/>
            </w:tcBorders>
            <w:shd w:val="clear" w:color="auto" w:fill="auto"/>
            <w:noWrap/>
            <w:vAlign w:val="center"/>
            <w:hideMark/>
          </w:tcPr>
          <w:p w14:paraId="5C4F82D5"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105</w:t>
            </w:r>
          </w:p>
        </w:tc>
        <w:tc>
          <w:tcPr>
            <w:tcW w:w="528" w:type="dxa"/>
            <w:tcBorders>
              <w:top w:val="nil"/>
              <w:left w:val="nil"/>
              <w:bottom w:val="single" w:sz="4" w:space="0" w:color="auto"/>
              <w:right w:val="single" w:sz="4" w:space="0" w:color="auto"/>
            </w:tcBorders>
            <w:shd w:val="clear" w:color="000000" w:fill="B4C6E7"/>
            <w:vAlign w:val="center"/>
            <w:hideMark/>
          </w:tcPr>
          <w:p w14:paraId="715B1C96"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189</w:t>
            </w:r>
          </w:p>
        </w:tc>
        <w:tc>
          <w:tcPr>
            <w:tcW w:w="689" w:type="dxa"/>
            <w:tcBorders>
              <w:top w:val="nil"/>
              <w:left w:val="nil"/>
              <w:bottom w:val="single" w:sz="4" w:space="0" w:color="auto"/>
              <w:right w:val="single" w:sz="4" w:space="0" w:color="auto"/>
            </w:tcBorders>
            <w:shd w:val="clear" w:color="000000" w:fill="DDEBF7"/>
            <w:vAlign w:val="center"/>
            <w:hideMark/>
          </w:tcPr>
          <w:p w14:paraId="4F64A652"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95</w:t>
            </w:r>
          </w:p>
        </w:tc>
        <w:tc>
          <w:tcPr>
            <w:tcW w:w="490" w:type="dxa"/>
            <w:tcBorders>
              <w:top w:val="nil"/>
              <w:left w:val="nil"/>
              <w:bottom w:val="single" w:sz="4" w:space="0" w:color="auto"/>
              <w:right w:val="single" w:sz="4" w:space="0" w:color="auto"/>
            </w:tcBorders>
            <w:shd w:val="clear" w:color="auto" w:fill="auto"/>
            <w:vAlign w:val="center"/>
            <w:hideMark/>
          </w:tcPr>
          <w:p w14:paraId="634D6D21"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379</w:t>
            </w:r>
          </w:p>
        </w:tc>
        <w:tc>
          <w:tcPr>
            <w:tcW w:w="522" w:type="dxa"/>
            <w:tcBorders>
              <w:top w:val="nil"/>
              <w:left w:val="nil"/>
              <w:bottom w:val="single" w:sz="4" w:space="0" w:color="auto"/>
              <w:right w:val="single" w:sz="4" w:space="0" w:color="auto"/>
            </w:tcBorders>
            <w:shd w:val="clear" w:color="auto" w:fill="auto"/>
            <w:vAlign w:val="center"/>
            <w:hideMark/>
          </w:tcPr>
          <w:p w14:paraId="2C6086EC"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284</w:t>
            </w:r>
          </w:p>
        </w:tc>
        <w:tc>
          <w:tcPr>
            <w:tcW w:w="560" w:type="dxa"/>
            <w:tcBorders>
              <w:top w:val="nil"/>
              <w:left w:val="nil"/>
              <w:bottom w:val="single" w:sz="4" w:space="0" w:color="auto"/>
              <w:right w:val="single" w:sz="4" w:space="0" w:color="auto"/>
            </w:tcBorders>
            <w:shd w:val="clear" w:color="000000" w:fill="D9D9D9"/>
            <w:vAlign w:val="center"/>
            <w:hideMark/>
          </w:tcPr>
          <w:p w14:paraId="0E24CFD9"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81</w:t>
            </w:r>
          </w:p>
        </w:tc>
        <w:tc>
          <w:tcPr>
            <w:tcW w:w="560" w:type="dxa"/>
            <w:tcBorders>
              <w:top w:val="nil"/>
              <w:left w:val="nil"/>
              <w:bottom w:val="single" w:sz="4" w:space="0" w:color="auto"/>
              <w:right w:val="single" w:sz="4" w:space="0" w:color="auto"/>
            </w:tcBorders>
            <w:shd w:val="clear" w:color="000000" w:fill="D9D9D9"/>
            <w:vAlign w:val="center"/>
            <w:hideMark/>
          </w:tcPr>
          <w:p w14:paraId="35466F94"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68</w:t>
            </w:r>
          </w:p>
        </w:tc>
        <w:tc>
          <w:tcPr>
            <w:tcW w:w="560" w:type="dxa"/>
            <w:tcBorders>
              <w:top w:val="nil"/>
              <w:left w:val="nil"/>
              <w:bottom w:val="single" w:sz="4" w:space="0" w:color="auto"/>
              <w:right w:val="single" w:sz="4" w:space="0" w:color="auto"/>
            </w:tcBorders>
            <w:shd w:val="clear" w:color="000000" w:fill="D9D9D9"/>
            <w:vAlign w:val="center"/>
            <w:hideMark/>
          </w:tcPr>
          <w:p w14:paraId="6A335FFF"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54</w:t>
            </w:r>
          </w:p>
        </w:tc>
        <w:tc>
          <w:tcPr>
            <w:tcW w:w="560" w:type="dxa"/>
            <w:tcBorders>
              <w:top w:val="nil"/>
              <w:left w:val="nil"/>
              <w:bottom w:val="single" w:sz="4" w:space="0" w:color="auto"/>
              <w:right w:val="single" w:sz="4" w:space="0" w:color="auto"/>
            </w:tcBorders>
            <w:shd w:val="clear" w:color="000000" w:fill="D9D9D9"/>
            <w:vAlign w:val="center"/>
            <w:hideMark/>
          </w:tcPr>
          <w:p w14:paraId="4FF6B4AB"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41</w:t>
            </w:r>
          </w:p>
        </w:tc>
        <w:tc>
          <w:tcPr>
            <w:tcW w:w="560" w:type="dxa"/>
            <w:tcBorders>
              <w:top w:val="nil"/>
              <w:left w:val="nil"/>
              <w:bottom w:val="single" w:sz="4" w:space="0" w:color="auto"/>
              <w:right w:val="single" w:sz="4" w:space="0" w:color="auto"/>
            </w:tcBorders>
            <w:shd w:val="clear" w:color="000000" w:fill="D9D9D9"/>
            <w:vAlign w:val="center"/>
            <w:hideMark/>
          </w:tcPr>
          <w:p w14:paraId="467DE7B3"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27</w:t>
            </w:r>
          </w:p>
        </w:tc>
        <w:tc>
          <w:tcPr>
            <w:tcW w:w="560" w:type="dxa"/>
            <w:tcBorders>
              <w:top w:val="nil"/>
              <w:left w:val="nil"/>
              <w:bottom w:val="single" w:sz="4" w:space="0" w:color="auto"/>
              <w:right w:val="single" w:sz="4" w:space="0" w:color="auto"/>
            </w:tcBorders>
            <w:shd w:val="clear" w:color="000000" w:fill="D9D9D9"/>
            <w:vAlign w:val="center"/>
            <w:hideMark/>
          </w:tcPr>
          <w:p w14:paraId="672EA739"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14</w:t>
            </w:r>
          </w:p>
        </w:tc>
      </w:tr>
      <w:tr w:rsidR="00621EF3" w:rsidRPr="00621EF3" w14:paraId="63951AC0" w14:textId="77777777" w:rsidTr="00621EF3">
        <w:trPr>
          <w:trHeight w:val="240"/>
          <w:jc w:val="center"/>
        </w:trPr>
        <w:tc>
          <w:tcPr>
            <w:tcW w:w="592" w:type="dxa"/>
            <w:vMerge/>
            <w:tcBorders>
              <w:top w:val="nil"/>
              <w:left w:val="single" w:sz="4" w:space="0" w:color="auto"/>
              <w:bottom w:val="single" w:sz="4" w:space="0" w:color="auto"/>
              <w:right w:val="single" w:sz="4" w:space="0" w:color="auto"/>
            </w:tcBorders>
            <w:vAlign w:val="center"/>
            <w:hideMark/>
          </w:tcPr>
          <w:p w14:paraId="328D7BC4" w14:textId="77777777" w:rsidR="00621EF3" w:rsidRPr="00621EF3" w:rsidRDefault="00621EF3" w:rsidP="00621EF3">
            <w:pPr>
              <w:overflowPunct/>
              <w:autoSpaceDE/>
              <w:autoSpaceDN/>
              <w:adjustRightInd/>
              <w:spacing w:after="0"/>
              <w:textAlignment w:val="auto"/>
              <w:rPr>
                <w:rFonts w:ascii="Calibri" w:hAnsi="Calibri" w:cs="Calibri"/>
                <w:color w:val="000000"/>
                <w:sz w:val="18"/>
                <w:szCs w:val="18"/>
                <w:lang w:val="en-US" w:eastAsia="en-US"/>
              </w:rPr>
            </w:pPr>
          </w:p>
        </w:tc>
        <w:tc>
          <w:tcPr>
            <w:tcW w:w="490" w:type="dxa"/>
            <w:tcBorders>
              <w:top w:val="nil"/>
              <w:left w:val="nil"/>
              <w:bottom w:val="single" w:sz="4" w:space="0" w:color="auto"/>
              <w:right w:val="single" w:sz="4" w:space="0" w:color="auto"/>
            </w:tcBorders>
            <w:shd w:val="clear" w:color="000000" w:fill="ED7D31"/>
            <w:noWrap/>
            <w:vAlign w:val="center"/>
            <w:hideMark/>
          </w:tcPr>
          <w:p w14:paraId="78D1DC80"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80</w:t>
            </w:r>
          </w:p>
        </w:tc>
        <w:tc>
          <w:tcPr>
            <w:tcW w:w="490" w:type="dxa"/>
            <w:tcBorders>
              <w:top w:val="nil"/>
              <w:left w:val="nil"/>
              <w:bottom w:val="single" w:sz="4" w:space="0" w:color="auto"/>
              <w:right w:val="single" w:sz="4" w:space="0" w:color="auto"/>
            </w:tcBorders>
            <w:shd w:val="clear" w:color="auto" w:fill="auto"/>
            <w:noWrap/>
            <w:vAlign w:val="center"/>
            <w:hideMark/>
          </w:tcPr>
          <w:p w14:paraId="26051396"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160</w:t>
            </w:r>
          </w:p>
        </w:tc>
        <w:tc>
          <w:tcPr>
            <w:tcW w:w="536" w:type="dxa"/>
            <w:tcBorders>
              <w:top w:val="nil"/>
              <w:left w:val="nil"/>
              <w:bottom w:val="single" w:sz="4" w:space="0" w:color="auto"/>
              <w:right w:val="single" w:sz="4" w:space="0" w:color="auto"/>
            </w:tcBorders>
            <w:shd w:val="clear" w:color="auto" w:fill="auto"/>
            <w:noWrap/>
            <w:vAlign w:val="center"/>
            <w:hideMark/>
          </w:tcPr>
          <w:p w14:paraId="2BCD295A"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120</w:t>
            </w:r>
          </w:p>
        </w:tc>
        <w:tc>
          <w:tcPr>
            <w:tcW w:w="528" w:type="dxa"/>
            <w:tcBorders>
              <w:top w:val="nil"/>
              <w:left w:val="nil"/>
              <w:bottom w:val="single" w:sz="4" w:space="0" w:color="auto"/>
              <w:right w:val="single" w:sz="4" w:space="0" w:color="auto"/>
            </w:tcBorders>
            <w:shd w:val="clear" w:color="000000" w:fill="B4C6E7"/>
            <w:vAlign w:val="center"/>
            <w:hideMark/>
          </w:tcPr>
          <w:p w14:paraId="78B81C96"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217</w:t>
            </w:r>
          </w:p>
        </w:tc>
        <w:tc>
          <w:tcPr>
            <w:tcW w:w="689" w:type="dxa"/>
            <w:tcBorders>
              <w:top w:val="nil"/>
              <w:left w:val="nil"/>
              <w:bottom w:val="single" w:sz="4" w:space="0" w:color="auto"/>
              <w:right w:val="single" w:sz="4" w:space="0" w:color="auto"/>
            </w:tcBorders>
            <w:shd w:val="clear" w:color="000000" w:fill="DDEBF7"/>
            <w:vAlign w:val="center"/>
            <w:hideMark/>
          </w:tcPr>
          <w:p w14:paraId="4A2D9DDA"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109</w:t>
            </w:r>
          </w:p>
        </w:tc>
        <w:tc>
          <w:tcPr>
            <w:tcW w:w="490" w:type="dxa"/>
            <w:tcBorders>
              <w:top w:val="nil"/>
              <w:left w:val="nil"/>
              <w:bottom w:val="single" w:sz="4" w:space="0" w:color="auto"/>
              <w:right w:val="single" w:sz="4" w:space="0" w:color="auto"/>
            </w:tcBorders>
            <w:shd w:val="clear" w:color="auto" w:fill="auto"/>
            <w:vAlign w:val="center"/>
            <w:hideMark/>
          </w:tcPr>
          <w:p w14:paraId="530D9BAC"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435</w:t>
            </w:r>
          </w:p>
        </w:tc>
        <w:tc>
          <w:tcPr>
            <w:tcW w:w="522" w:type="dxa"/>
            <w:tcBorders>
              <w:top w:val="nil"/>
              <w:left w:val="nil"/>
              <w:bottom w:val="single" w:sz="4" w:space="0" w:color="auto"/>
              <w:right w:val="single" w:sz="4" w:space="0" w:color="auto"/>
            </w:tcBorders>
            <w:shd w:val="clear" w:color="auto" w:fill="auto"/>
            <w:vAlign w:val="center"/>
            <w:hideMark/>
          </w:tcPr>
          <w:p w14:paraId="4C19E967"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326</w:t>
            </w:r>
          </w:p>
        </w:tc>
        <w:tc>
          <w:tcPr>
            <w:tcW w:w="560" w:type="dxa"/>
            <w:tcBorders>
              <w:top w:val="nil"/>
              <w:left w:val="nil"/>
              <w:bottom w:val="single" w:sz="4" w:space="0" w:color="auto"/>
              <w:right w:val="single" w:sz="4" w:space="0" w:color="auto"/>
            </w:tcBorders>
            <w:shd w:val="clear" w:color="000000" w:fill="D9D9D9"/>
            <w:vAlign w:val="center"/>
            <w:hideMark/>
          </w:tcPr>
          <w:p w14:paraId="191BFF0B"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93</w:t>
            </w:r>
          </w:p>
        </w:tc>
        <w:tc>
          <w:tcPr>
            <w:tcW w:w="560" w:type="dxa"/>
            <w:tcBorders>
              <w:top w:val="nil"/>
              <w:left w:val="nil"/>
              <w:bottom w:val="single" w:sz="4" w:space="0" w:color="auto"/>
              <w:right w:val="single" w:sz="4" w:space="0" w:color="auto"/>
            </w:tcBorders>
            <w:shd w:val="clear" w:color="000000" w:fill="D9D9D9"/>
            <w:vAlign w:val="center"/>
            <w:hideMark/>
          </w:tcPr>
          <w:p w14:paraId="62140EAD"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78</w:t>
            </w:r>
          </w:p>
        </w:tc>
        <w:tc>
          <w:tcPr>
            <w:tcW w:w="560" w:type="dxa"/>
            <w:tcBorders>
              <w:top w:val="nil"/>
              <w:left w:val="nil"/>
              <w:bottom w:val="single" w:sz="4" w:space="0" w:color="auto"/>
              <w:right w:val="single" w:sz="4" w:space="0" w:color="auto"/>
            </w:tcBorders>
            <w:shd w:val="clear" w:color="000000" w:fill="D9D9D9"/>
            <w:vAlign w:val="center"/>
            <w:hideMark/>
          </w:tcPr>
          <w:p w14:paraId="36840034"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62</w:t>
            </w:r>
          </w:p>
        </w:tc>
        <w:tc>
          <w:tcPr>
            <w:tcW w:w="560" w:type="dxa"/>
            <w:tcBorders>
              <w:top w:val="nil"/>
              <w:left w:val="nil"/>
              <w:bottom w:val="single" w:sz="4" w:space="0" w:color="auto"/>
              <w:right w:val="single" w:sz="4" w:space="0" w:color="auto"/>
            </w:tcBorders>
            <w:shd w:val="clear" w:color="000000" w:fill="D9D9D9"/>
            <w:vAlign w:val="center"/>
            <w:hideMark/>
          </w:tcPr>
          <w:p w14:paraId="0108A050"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47</w:t>
            </w:r>
          </w:p>
        </w:tc>
        <w:tc>
          <w:tcPr>
            <w:tcW w:w="560" w:type="dxa"/>
            <w:tcBorders>
              <w:top w:val="nil"/>
              <w:left w:val="nil"/>
              <w:bottom w:val="single" w:sz="4" w:space="0" w:color="auto"/>
              <w:right w:val="single" w:sz="4" w:space="0" w:color="auto"/>
            </w:tcBorders>
            <w:shd w:val="clear" w:color="000000" w:fill="D9D9D9"/>
            <w:vAlign w:val="center"/>
            <w:hideMark/>
          </w:tcPr>
          <w:p w14:paraId="42FAD33C"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31</w:t>
            </w:r>
          </w:p>
        </w:tc>
        <w:tc>
          <w:tcPr>
            <w:tcW w:w="560" w:type="dxa"/>
            <w:tcBorders>
              <w:top w:val="nil"/>
              <w:left w:val="nil"/>
              <w:bottom w:val="single" w:sz="4" w:space="0" w:color="auto"/>
              <w:right w:val="single" w:sz="4" w:space="0" w:color="auto"/>
            </w:tcBorders>
            <w:shd w:val="clear" w:color="000000" w:fill="D9D9D9"/>
            <w:vAlign w:val="center"/>
            <w:hideMark/>
          </w:tcPr>
          <w:p w14:paraId="2B868B27"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16</w:t>
            </w:r>
          </w:p>
        </w:tc>
      </w:tr>
      <w:tr w:rsidR="00621EF3" w:rsidRPr="00621EF3" w14:paraId="2BD01795" w14:textId="77777777" w:rsidTr="00621EF3">
        <w:trPr>
          <w:trHeight w:val="240"/>
          <w:jc w:val="center"/>
        </w:trPr>
        <w:tc>
          <w:tcPr>
            <w:tcW w:w="592" w:type="dxa"/>
            <w:vMerge/>
            <w:tcBorders>
              <w:top w:val="nil"/>
              <w:left w:val="single" w:sz="4" w:space="0" w:color="auto"/>
              <w:bottom w:val="single" w:sz="4" w:space="0" w:color="auto"/>
              <w:right w:val="single" w:sz="4" w:space="0" w:color="auto"/>
            </w:tcBorders>
            <w:vAlign w:val="center"/>
            <w:hideMark/>
          </w:tcPr>
          <w:p w14:paraId="6A3031CE" w14:textId="77777777" w:rsidR="00621EF3" w:rsidRPr="00621EF3" w:rsidRDefault="00621EF3" w:rsidP="00621EF3">
            <w:pPr>
              <w:overflowPunct/>
              <w:autoSpaceDE/>
              <w:autoSpaceDN/>
              <w:adjustRightInd/>
              <w:spacing w:after="0"/>
              <w:textAlignment w:val="auto"/>
              <w:rPr>
                <w:rFonts w:ascii="Calibri" w:hAnsi="Calibri" w:cs="Calibri"/>
                <w:color w:val="000000"/>
                <w:sz w:val="18"/>
                <w:szCs w:val="18"/>
                <w:lang w:val="en-US" w:eastAsia="en-US"/>
              </w:rPr>
            </w:pPr>
          </w:p>
        </w:tc>
        <w:tc>
          <w:tcPr>
            <w:tcW w:w="490" w:type="dxa"/>
            <w:tcBorders>
              <w:top w:val="nil"/>
              <w:left w:val="nil"/>
              <w:bottom w:val="single" w:sz="4" w:space="0" w:color="auto"/>
              <w:right w:val="single" w:sz="4" w:space="0" w:color="auto"/>
            </w:tcBorders>
            <w:shd w:val="clear" w:color="000000" w:fill="C65911"/>
            <w:noWrap/>
            <w:vAlign w:val="center"/>
            <w:hideMark/>
          </w:tcPr>
          <w:p w14:paraId="55F3A7EB"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90</w:t>
            </w:r>
          </w:p>
        </w:tc>
        <w:tc>
          <w:tcPr>
            <w:tcW w:w="490" w:type="dxa"/>
            <w:tcBorders>
              <w:top w:val="nil"/>
              <w:left w:val="nil"/>
              <w:bottom w:val="single" w:sz="4" w:space="0" w:color="auto"/>
              <w:right w:val="single" w:sz="4" w:space="0" w:color="auto"/>
            </w:tcBorders>
            <w:shd w:val="clear" w:color="auto" w:fill="auto"/>
            <w:noWrap/>
            <w:vAlign w:val="center"/>
            <w:hideMark/>
          </w:tcPr>
          <w:p w14:paraId="7F7DB46A"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180</w:t>
            </w:r>
          </w:p>
        </w:tc>
        <w:tc>
          <w:tcPr>
            <w:tcW w:w="536" w:type="dxa"/>
            <w:tcBorders>
              <w:top w:val="nil"/>
              <w:left w:val="nil"/>
              <w:bottom w:val="single" w:sz="4" w:space="0" w:color="auto"/>
              <w:right w:val="single" w:sz="4" w:space="0" w:color="auto"/>
            </w:tcBorders>
            <w:shd w:val="clear" w:color="auto" w:fill="auto"/>
            <w:noWrap/>
            <w:vAlign w:val="center"/>
            <w:hideMark/>
          </w:tcPr>
          <w:p w14:paraId="147F42BE"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135</w:t>
            </w:r>
          </w:p>
        </w:tc>
        <w:tc>
          <w:tcPr>
            <w:tcW w:w="528" w:type="dxa"/>
            <w:tcBorders>
              <w:top w:val="nil"/>
              <w:left w:val="nil"/>
              <w:bottom w:val="single" w:sz="4" w:space="0" w:color="auto"/>
              <w:right w:val="single" w:sz="4" w:space="0" w:color="auto"/>
            </w:tcBorders>
            <w:shd w:val="clear" w:color="000000" w:fill="B4C6E7"/>
            <w:vAlign w:val="center"/>
            <w:hideMark/>
          </w:tcPr>
          <w:p w14:paraId="71302CCA"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245</w:t>
            </w:r>
          </w:p>
        </w:tc>
        <w:tc>
          <w:tcPr>
            <w:tcW w:w="689" w:type="dxa"/>
            <w:tcBorders>
              <w:top w:val="nil"/>
              <w:left w:val="nil"/>
              <w:bottom w:val="single" w:sz="4" w:space="0" w:color="auto"/>
              <w:right w:val="single" w:sz="4" w:space="0" w:color="auto"/>
            </w:tcBorders>
            <w:shd w:val="clear" w:color="000000" w:fill="DDEBF7"/>
            <w:vAlign w:val="center"/>
            <w:hideMark/>
          </w:tcPr>
          <w:p w14:paraId="6033434F"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123</w:t>
            </w:r>
          </w:p>
        </w:tc>
        <w:tc>
          <w:tcPr>
            <w:tcW w:w="490" w:type="dxa"/>
            <w:tcBorders>
              <w:top w:val="nil"/>
              <w:left w:val="nil"/>
              <w:bottom w:val="single" w:sz="4" w:space="0" w:color="auto"/>
              <w:right w:val="single" w:sz="4" w:space="0" w:color="auto"/>
            </w:tcBorders>
            <w:shd w:val="clear" w:color="auto" w:fill="auto"/>
            <w:vAlign w:val="center"/>
            <w:hideMark/>
          </w:tcPr>
          <w:p w14:paraId="29AA0657"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491</w:t>
            </w:r>
          </w:p>
        </w:tc>
        <w:tc>
          <w:tcPr>
            <w:tcW w:w="522" w:type="dxa"/>
            <w:tcBorders>
              <w:top w:val="nil"/>
              <w:left w:val="nil"/>
              <w:bottom w:val="single" w:sz="4" w:space="0" w:color="auto"/>
              <w:right w:val="single" w:sz="4" w:space="0" w:color="auto"/>
            </w:tcBorders>
            <w:shd w:val="clear" w:color="auto" w:fill="auto"/>
            <w:vAlign w:val="center"/>
            <w:hideMark/>
          </w:tcPr>
          <w:p w14:paraId="7AC20CDF"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368</w:t>
            </w:r>
          </w:p>
        </w:tc>
        <w:tc>
          <w:tcPr>
            <w:tcW w:w="560" w:type="dxa"/>
            <w:tcBorders>
              <w:top w:val="nil"/>
              <w:left w:val="nil"/>
              <w:bottom w:val="single" w:sz="4" w:space="0" w:color="auto"/>
              <w:right w:val="single" w:sz="4" w:space="0" w:color="auto"/>
            </w:tcBorders>
            <w:shd w:val="clear" w:color="000000" w:fill="D9D9D9"/>
            <w:vAlign w:val="center"/>
            <w:hideMark/>
          </w:tcPr>
          <w:p w14:paraId="0174BBFB"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105</w:t>
            </w:r>
          </w:p>
        </w:tc>
        <w:tc>
          <w:tcPr>
            <w:tcW w:w="560" w:type="dxa"/>
            <w:tcBorders>
              <w:top w:val="nil"/>
              <w:left w:val="nil"/>
              <w:bottom w:val="single" w:sz="4" w:space="0" w:color="auto"/>
              <w:right w:val="single" w:sz="4" w:space="0" w:color="auto"/>
            </w:tcBorders>
            <w:shd w:val="clear" w:color="000000" w:fill="D9D9D9"/>
            <w:vAlign w:val="center"/>
            <w:hideMark/>
          </w:tcPr>
          <w:p w14:paraId="765C2E20"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88</w:t>
            </w:r>
          </w:p>
        </w:tc>
        <w:tc>
          <w:tcPr>
            <w:tcW w:w="560" w:type="dxa"/>
            <w:tcBorders>
              <w:top w:val="nil"/>
              <w:left w:val="nil"/>
              <w:bottom w:val="single" w:sz="4" w:space="0" w:color="auto"/>
              <w:right w:val="single" w:sz="4" w:space="0" w:color="auto"/>
            </w:tcBorders>
            <w:shd w:val="clear" w:color="000000" w:fill="D9D9D9"/>
            <w:vAlign w:val="center"/>
            <w:hideMark/>
          </w:tcPr>
          <w:p w14:paraId="49626654"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70</w:t>
            </w:r>
          </w:p>
        </w:tc>
        <w:tc>
          <w:tcPr>
            <w:tcW w:w="560" w:type="dxa"/>
            <w:tcBorders>
              <w:top w:val="nil"/>
              <w:left w:val="nil"/>
              <w:bottom w:val="single" w:sz="4" w:space="0" w:color="auto"/>
              <w:right w:val="single" w:sz="4" w:space="0" w:color="auto"/>
            </w:tcBorders>
            <w:shd w:val="clear" w:color="000000" w:fill="D9D9D9"/>
            <w:vAlign w:val="center"/>
            <w:hideMark/>
          </w:tcPr>
          <w:p w14:paraId="5EFC8EB0"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53</w:t>
            </w:r>
          </w:p>
        </w:tc>
        <w:tc>
          <w:tcPr>
            <w:tcW w:w="560" w:type="dxa"/>
            <w:tcBorders>
              <w:top w:val="nil"/>
              <w:left w:val="nil"/>
              <w:bottom w:val="single" w:sz="4" w:space="0" w:color="auto"/>
              <w:right w:val="single" w:sz="4" w:space="0" w:color="auto"/>
            </w:tcBorders>
            <w:shd w:val="clear" w:color="000000" w:fill="D9D9D9"/>
            <w:vAlign w:val="center"/>
            <w:hideMark/>
          </w:tcPr>
          <w:p w14:paraId="19FADE8A"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35</w:t>
            </w:r>
          </w:p>
        </w:tc>
        <w:tc>
          <w:tcPr>
            <w:tcW w:w="560" w:type="dxa"/>
            <w:tcBorders>
              <w:top w:val="nil"/>
              <w:left w:val="nil"/>
              <w:bottom w:val="single" w:sz="4" w:space="0" w:color="auto"/>
              <w:right w:val="single" w:sz="4" w:space="0" w:color="auto"/>
            </w:tcBorders>
            <w:shd w:val="clear" w:color="000000" w:fill="D9D9D9"/>
            <w:vAlign w:val="center"/>
            <w:hideMark/>
          </w:tcPr>
          <w:p w14:paraId="48381D7D"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18</w:t>
            </w:r>
          </w:p>
        </w:tc>
      </w:tr>
      <w:tr w:rsidR="00621EF3" w:rsidRPr="00621EF3" w14:paraId="6B6B9363" w14:textId="77777777" w:rsidTr="00621EF3">
        <w:trPr>
          <w:trHeight w:val="240"/>
          <w:jc w:val="center"/>
        </w:trPr>
        <w:tc>
          <w:tcPr>
            <w:tcW w:w="592" w:type="dxa"/>
            <w:vMerge/>
            <w:tcBorders>
              <w:top w:val="nil"/>
              <w:left w:val="single" w:sz="4" w:space="0" w:color="auto"/>
              <w:bottom w:val="single" w:sz="4" w:space="0" w:color="auto"/>
              <w:right w:val="single" w:sz="4" w:space="0" w:color="auto"/>
            </w:tcBorders>
            <w:vAlign w:val="center"/>
            <w:hideMark/>
          </w:tcPr>
          <w:p w14:paraId="69257A6E" w14:textId="77777777" w:rsidR="00621EF3" w:rsidRPr="00621EF3" w:rsidRDefault="00621EF3" w:rsidP="00621EF3">
            <w:pPr>
              <w:overflowPunct/>
              <w:autoSpaceDE/>
              <w:autoSpaceDN/>
              <w:adjustRightInd/>
              <w:spacing w:after="0"/>
              <w:textAlignment w:val="auto"/>
              <w:rPr>
                <w:rFonts w:ascii="Calibri" w:hAnsi="Calibri" w:cs="Calibri"/>
                <w:color w:val="000000"/>
                <w:sz w:val="18"/>
                <w:szCs w:val="18"/>
                <w:lang w:val="en-US" w:eastAsia="en-US"/>
              </w:rPr>
            </w:pPr>
          </w:p>
        </w:tc>
        <w:tc>
          <w:tcPr>
            <w:tcW w:w="490" w:type="dxa"/>
            <w:tcBorders>
              <w:top w:val="nil"/>
              <w:left w:val="nil"/>
              <w:bottom w:val="single" w:sz="4" w:space="0" w:color="auto"/>
              <w:right w:val="single" w:sz="4" w:space="0" w:color="auto"/>
            </w:tcBorders>
            <w:shd w:val="clear" w:color="000000" w:fill="833C0C"/>
            <w:noWrap/>
            <w:vAlign w:val="center"/>
            <w:hideMark/>
          </w:tcPr>
          <w:p w14:paraId="5DD6BCDA" w14:textId="77777777" w:rsidR="00621EF3" w:rsidRPr="00621EF3" w:rsidRDefault="00621EF3" w:rsidP="00621EF3">
            <w:pPr>
              <w:overflowPunct/>
              <w:autoSpaceDE/>
              <w:autoSpaceDN/>
              <w:adjustRightInd/>
              <w:spacing w:after="0"/>
              <w:jc w:val="center"/>
              <w:textAlignment w:val="auto"/>
              <w:rPr>
                <w:rFonts w:ascii="Calibri" w:hAnsi="Calibri" w:cs="Calibri"/>
                <w:b/>
                <w:bCs/>
                <w:color w:val="000000"/>
                <w:sz w:val="18"/>
                <w:szCs w:val="18"/>
                <w:lang w:val="en-US" w:eastAsia="en-US"/>
              </w:rPr>
            </w:pPr>
            <w:r w:rsidRPr="00621EF3">
              <w:rPr>
                <w:rFonts w:ascii="Calibri" w:hAnsi="Calibri" w:cs="Calibri"/>
                <w:b/>
                <w:bCs/>
                <w:color w:val="000000"/>
                <w:sz w:val="18"/>
                <w:szCs w:val="18"/>
                <w:lang w:val="en-US" w:eastAsia="en-US"/>
              </w:rPr>
              <w:t>100</w:t>
            </w:r>
          </w:p>
        </w:tc>
        <w:tc>
          <w:tcPr>
            <w:tcW w:w="490" w:type="dxa"/>
            <w:tcBorders>
              <w:top w:val="nil"/>
              <w:left w:val="nil"/>
              <w:bottom w:val="single" w:sz="4" w:space="0" w:color="auto"/>
              <w:right w:val="single" w:sz="4" w:space="0" w:color="auto"/>
            </w:tcBorders>
            <w:shd w:val="clear" w:color="auto" w:fill="auto"/>
            <w:noWrap/>
            <w:vAlign w:val="center"/>
            <w:hideMark/>
          </w:tcPr>
          <w:p w14:paraId="1217F0CF" w14:textId="77777777" w:rsidR="00621EF3" w:rsidRPr="00621EF3" w:rsidRDefault="00621EF3" w:rsidP="00621EF3">
            <w:pPr>
              <w:overflowPunct/>
              <w:autoSpaceDE/>
              <w:autoSpaceDN/>
              <w:adjustRightInd/>
              <w:spacing w:after="0"/>
              <w:jc w:val="center"/>
              <w:textAlignment w:val="auto"/>
              <w:rPr>
                <w:rFonts w:ascii="Calibri" w:hAnsi="Calibri" w:cs="Calibri"/>
                <w:color w:val="000000"/>
                <w:sz w:val="18"/>
                <w:szCs w:val="18"/>
                <w:lang w:val="en-US" w:eastAsia="en-US"/>
              </w:rPr>
            </w:pPr>
            <w:r w:rsidRPr="00621EF3">
              <w:rPr>
                <w:rFonts w:ascii="Calibri" w:hAnsi="Calibri" w:cs="Calibri"/>
                <w:color w:val="000000"/>
                <w:sz w:val="18"/>
                <w:szCs w:val="18"/>
                <w:lang w:val="en-US" w:eastAsia="en-US"/>
              </w:rPr>
              <w:t>200</w:t>
            </w:r>
          </w:p>
        </w:tc>
        <w:tc>
          <w:tcPr>
            <w:tcW w:w="536" w:type="dxa"/>
            <w:tcBorders>
              <w:top w:val="nil"/>
              <w:left w:val="nil"/>
              <w:bottom w:val="single" w:sz="4" w:space="0" w:color="auto"/>
              <w:right w:val="single" w:sz="4" w:space="0" w:color="auto"/>
            </w:tcBorders>
            <w:shd w:val="clear" w:color="auto" w:fill="auto"/>
            <w:noWrap/>
            <w:vAlign w:val="center"/>
            <w:hideMark/>
          </w:tcPr>
          <w:p w14:paraId="3B7DE11C" w14:textId="77777777" w:rsidR="00621EF3" w:rsidRPr="00621EF3" w:rsidRDefault="00621EF3" w:rsidP="00621EF3">
            <w:pPr>
              <w:overflowPunct/>
              <w:autoSpaceDE/>
              <w:autoSpaceDN/>
              <w:adjustRightInd/>
              <w:spacing w:after="0"/>
              <w:jc w:val="center"/>
              <w:textAlignment w:val="auto"/>
              <w:rPr>
                <w:rFonts w:ascii="Calibri" w:hAnsi="Calibri" w:cs="Calibri"/>
                <w:b/>
                <w:bCs/>
                <w:color w:val="000000"/>
                <w:sz w:val="18"/>
                <w:szCs w:val="18"/>
                <w:lang w:val="en-US" w:eastAsia="en-US"/>
              </w:rPr>
            </w:pPr>
            <w:r w:rsidRPr="00621EF3">
              <w:rPr>
                <w:rFonts w:ascii="Calibri" w:hAnsi="Calibri" w:cs="Calibri"/>
                <w:b/>
                <w:bCs/>
                <w:color w:val="000000"/>
                <w:sz w:val="18"/>
                <w:szCs w:val="18"/>
                <w:lang w:val="en-US" w:eastAsia="en-US"/>
              </w:rPr>
              <w:t>150</w:t>
            </w:r>
          </w:p>
        </w:tc>
        <w:tc>
          <w:tcPr>
            <w:tcW w:w="528" w:type="dxa"/>
            <w:tcBorders>
              <w:top w:val="nil"/>
              <w:left w:val="nil"/>
              <w:bottom w:val="single" w:sz="4" w:space="0" w:color="auto"/>
              <w:right w:val="single" w:sz="4" w:space="0" w:color="auto"/>
            </w:tcBorders>
            <w:shd w:val="clear" w:color="000000" w:fill="B4C6E7"/>
            <w:vAlign w:val="center"/>
            <w:hideMark/>
          </w:tcPr>
          <w:p w14:paraId="6731B394" w14:textId="77777777" w:rsidR="00621EF3" w:rsidRPr="00621EF3" w:rsidRDefault="00621EF3" w:rsidP="00621EF3">
            <w:pPr>
              <w:overflowPunct/>
              <w:autoSpaceDE/>
              <w:autoSpaceDN/>
              <w:adjustRightInd/>
              <w:spacing w:after="0"/>
              <w:jc w:val="center"/>
              <w:textAlignment w:val="auto"/>
              <w:rPr>
                <w:rFonts w:ascii="Calibri" w:hAnsi="Calibri" w:cs="Calibri"/>
                <w:b/>
                <w:bCs/>
                <w:color w:val="000000"/>
                <w:sz w:val="18"/>
                <w:szCs w:val="18"/>
                <w:lang w:val="en-US" w:eastAsia="en-US"/>
              </w:rPr>
            </w:pPr>
            <w:r w:rsidRPr="00621EF3">
              <w:rPr>
                <w:rFonts w:ascii="Calibri" w:hAnsi="Calibri" w:cs="Calibri"/>
                <w:b/>
                <w:bCs/>
                <w:color w:val="000000"/>
                <w:sz w:val="18"/>
                <w:szCs w:val="18"/>
                <w:lang w:val="en-US" w:eastAsia="en-US"/>
              </w:rPr>
              <w:t>273</w:t>
            </w:r>
          </w:p>
        </w:tc>
        <w:tc>
          <w:tcPr>
            <w:tcW w:w="689" w:type="dxa"/>
            <w:tcBorders>
              <w:top w:val="nil"/>
              <w:left w:val="nil"/>
              <w:bottom w:val="single" w:sz="4" w:space="0" w:color="auto"/>
              <w:right w:val="single" w:sz="4" w:space="0" w:color="auto"/>
            </w:tcBorders>
            <w:shd w:val="clear" w:color="000000" w:fill="DDEBF7"/>
            <w:vAlign w:val="center"/>
            <w:hideMark/>
          </w:tcPr>
          <w:p w14:paraId="78C32EBF" w14:textId="77777777" w:rsidR="00621EF3" w:rsidRPr="00621EF3" w:rsidRDefault="00621EF3" w:rsidP="00621EF3">
            <w:pPr>
              <w:overflowPunct/>
              <w:autoSpaceDE/>
              <w:autoSpaceDN/>
              <w:adjustRightInd/>
              <w:spacing w:after="0"/>
              <w:jc w:val="center"/>
              <w:textAlignment w:val="auto"/>
              <w:rPr>
                <w:rFonts w:ascii="Calibri" w:hAnsi="Calibri" w:cs="Calibri"/>
                <w:b/>
                <w:bCs/>
                <w:color w:val="000000"/>
                <w:sz w:val="18"/>
                <w:szCs w:val="18"/>
                <w:lang w:val="en-US" w:eastAsia="en-US"/>
              </w:rPr>
            </w:pPr>
            <w:r w:rsidRPr="00621EF3">
              <w:rPr>
                <w:rFonts w:ascii="Calibri" w:hAnsi="Calibri" w:cs="Calibri"/>
                <w:b/>
                <w:bCs/>
                <w:color w:val="000000"/>
                <w:sz w:val="18"/>
                <w:szCs w:val="18"/>
                <w:lang w:val="en-US" w:eastAsia="en-US"/>
              </w:rPr>
              <w:t>137</w:t>
            </w:r>
          </w:p>
        </w:tc>
        <w:tc>
          <w:tcPr>
            <w:tcW w:w="490" w:type="dxa"/>
            <w:tcBorders>
              <w:top w:val="nil"/>
              <w:left w:val="nil"/>
              <w:bottom w:val="single" w:sz="4" w:space="0" w:color="auto"/>
              <w:right w:val="single" w:sz="4" w:space="0" w:color="auto"/>
            </w:tcBorders>
            <w:shd w:val="clear" w:color="auto" w:fill="auto"/>
            <w:vAlign w:val="center"/>
            <w:hideMark/>
          </w:tcPr>
          <w:p w14:paraId="72E54A7F" w14:textId="77777777" w:rsidR="00621EF3" w:rsidRPr="00621EF3" w:rsidRDefault="00621EF3" w:rsidP="00621EF3">
            <w:pPr>
              <w:overflowPunct/>
              <w:autoSpaceDE/>
              <w:autoSpaceDN/>
              <w:adjustRightInd/>
              <w:spacing w:after="0"/>
              <w:jc w:val="center"/>
              <w:textAlignment w:val="auto"/>
              <w:rPr>
                <w:rFonts w:ascii="Calibri" w:hAnsi="Calibri" w:cs="Calibri"/>
                <w:b/>
                <w:bCs/>
                <w:color w:val="000000"/>
                <w:sz w:val="18"/>
                <w:szCs w:val="18"/>
                <w:lang w:val="en-US" w:eastAsia="en-US"/>
              </w:rPr>
            </w:pPr>
            <w:r w:rsidRPr="00621EF3">
              <w:rPr>
                <w:rFonts w:ascii="Calibri" w:hAnsi="Calibri" w:cs="Calibri"/>
                <w:b/>
                <w:bCs/>
                <w:color w:val="000000"/>
                <w:sz w:val="18"/>
                <w:szCs w:val="18"/>
                <w:lang w:val="en-US" w:eastAsia="en-US"/>
              </w:rPr>
              <w:t>547</w:t>
            </w:r>
          </w:p>
        </w:tc>
        <w:tc>
          <w:tcPr>
            <w:tcW w:w="522" w:type="dxa"/>
            <w:tcBorders>
              <w:top w:val="nil"/>
              <w:left w:val="nil"/>
              <w:bottom w:val="single" w:sz="4" w:space="0" w:color="auto"/>
              <w:right w:val="single" w:sz="4" w:space="0" w:color="auto"/>
            </w:tcBorders>
            <w:shd w:val="clear" w:color="auto" w:fill="auto"/>
            <w:vAlign w:val="center"/>
            <w:hideMark/>
          </w:tcPr>
          <w:p w14:paraId="6167E6BE" w14:textId="77777777" w:rsidR="00621EF3" w:rsidRPr="00621EF3" w:rsidRDefault="00621EF3" w:rsidP="00621EF3">
            <w:pPr>
              <w:overflowPunct/>
              <w:autoSpaceDE/>
              <w:autoSpaceDN/>
              <w:adjustRightInd/>
              <w:spacing w:after="0"/>
              <w:jc w:val="center"/>
              <w:textAlignment w:val="auto"/>
              <w:rPr>
                <w:rFonts w:ascii="Calibri" w:hAnsi="Calibri" w:cs="Calibri"/>
                <w:b/>
                <w:bCs/>
                <w:color w:val="000000"/>
                <w:sz w:val="18"/>
                <w:szCs w:val="18"/>
                <w:lang w:val="en-US" w:eastAsia="en-US"/>
              </w:rPr>
            </w:pPr>
            <w:r w:rsidRPr="00621EF3">
              <w:rPr>
                <w:rFonts w:ascii="Calibri" w:hAnsi="Calibri" w:cs="Calibri"/>
                <w:b/>
                <w:bCs/>
                <w:color w:val="000000"/>
                <w:sz w:val="18"/>
                <w:szCs w:val="18"/>
                <w:lang w:val="en-US" w:eastAsia="en-US"/>
              </w:rPr>
              <w:t>410</w:t>
            </w:r>
          </w:p>
        </w:tc>
        <w:tc>
          <w:tcPr>
            <w:tcW w:w="560" w:type="dxa"/>
            <w:tcBorders>
              <w:top w:val="nil"/>
              <w:left w:val="nil"/>
              <w:bottom w:val="single" w:sz="4" w:space="0" w:color="auto"/>
              <w:right w:val="single" w:sz="4" w:space="0" w:color="auto"/>
            </w:tcBorders>
            <w:shd w:val="clear" w:color="000000" w:fill="D9D9D9"/>
            <w:vAlign w:val="center"/>
            <w:hideMark/>
          </w:tcPr>
          <w:p w14:paraId="6A0BE38F" w14:textId="77777777" w:rsidR="00621EF3" w:rsidRPr="00621EF3" w:rsidRDefault="00621EF3" w:rsidP="00621EF3">
            <w:pPr>
              <w:overflowPunct/>
              <w:autoSpaceDE/>
              <w:autoSpaceDN/>
              <w:adjustRightInd/>
              <w:spacing w:after="0"/>
              <w:jc w:val="center"/>
              <w:textAlignment w:val="auto"/>
              <w:rPr>
                <w:rFonts w:ascii="Calibri" w:hAnsi="Calibri" w:cs="Calibri"/>
                <w:b/>
                <w:bCs/>
                <w:color w:val="000000"/>
                <w:sz w:val="18"/>
                <w:szCs w:val="18"/>
                <w:lang w:val="en-US" w:eastAsia="en-US"/>
              </w:rPr>
            </w:pPr>
            <w:r w:rsidRPr="00621EF3">
              <w:rPr>
                <w:rFonts w:ascii="Calibri" w:hAnsi="Calibri" w:cs="Calibri"/>
                <w:b/>
                <w:bCs/>
                <w:color w:val="000000"/>
                <w:sz w:val="18"/>
                <w:szCs w:val="18"/>
                <w:lang w:val="en-US" w:eastAsia="en-US"/>
              </w:rPr>
              <w:t>117</w:t>
            </w:r>
          </w:p>
        </w:tc>
        <w:tc>
          <w:tcPr>
            <w:tcW w:w="560" w:type="dxa"/>
            <w:tcBorders>
              <w:top w:val="nil"/>
              <w:left w:val="nil"/>
              <w:bottom w:val="single" w:sz="4" w:space="0" w:color="auto"/>
              <w:right w:val="single" w:sz="4" w:space="0" w:color="auto"/>
            </w:tcBorders>
            <w:shd w:val="clear" w:color="000000" w:fill="D9D9D9"/>
            <w:vAlign w:val="center"/>
            <w:hideMark/>
          </w:tcPr>
          <w:p w14:paraId="6525CB4D" w14:textId="77777777" w:rsidR="00621EF3" w:rsidRPr="00621EF3" w:rsidRDefault="00621EF3" w:rsidP="00621EF3">
            <w:pPr>
              <w:overflowPunct/>
              <w:autoSpaceDE/>
              <w:autoSpaceDN/>
              <w:adjustRightInd/>
              <w:spacing w:after="0"/>
              <w:jc w:val="center"/>
              <w:textAlignment w:val="auto"/>
              <w:rPr>
                <w:rFonts w:ascii="Calibri" w:hAnsi="Calibri" w:cs="Calibri"/>
                <w:b/>
                <w:bCs/>
                <w:color w:val="000000"/>
                <w:sz w:val="18"/>
                <w:szCs w:val="18"/>
                <w:lang w:val="en-US" w:eastAsia="en-US"/>
              </w:rPr>
            </w:pPr>
            <w:r w:rsidRPr="00621EF3">
              <w:rPr>
                <w:rFonts w:ascii="Calibri" w:hAnsi="Calibri" w:cs="Calibri"/>
                <w:b/>
                <w:bCs/>
                <w:color w:val="000000"/>
                <w:sz w:val="18"/>
                <w:szCs w:val="18"/>
                <w:lang w:val="en-US" w:eastAsia="en-US"/>
              </w:rPr>
              <w:t>98</w:t>
            </w:r>
          </w:p>
        </w:tc>
        <w:tc>
          <w:tcPr>
            <w:tcW w:w="560" w:type="dxa"/>
            <w:tcBorders>
              <w:top w:val="nil"/>
              <w:left w:val="nil"/>
              <w:bottom w:val="single" w:sz="4" w:space="0" w:color="auto"/>
              <w:right w:val="single" w:sz="4" w:space="0" w:color="auto"/>
            </w:tcBorders>
            <w:shd w:val="clear" w:color="000000" w:fill="D9D9D9"/>
            <w:vAlign w:val="center"/>
            <w:hideMark/>
          </w:tcPr>
          <w:p w14:paraId="75F52774" w14:textId="77777777" w:rsidR="00621EF3" w:rsidRPr="00621EF3" w:rsidRDefault="00621EF3" w:rsidP="00621EF3">
            <w:pPr>
              <w:overflowPunct/>
              <w:autoSpaceDE/>
              <w:autoSpaceDN/>
              <w:adjustRightInd/>
              <w:spacing w:after="0"/>
              <w:jc w:val="center"/>
              <w:textAlignment w:val="auto"/>
              <w:rPr>
                <w:rFonts w:ascii="Calibri" w:hAnsi="Calibri" w:cs="Calibri"/>
                <w:b/>
                <w:bCs/>
                <w:color w:val="000000"/>
                <w:sz w:val="18"/>
                <w:szCs w:val="18"/>
                <w:lang w:val="en-US" w:eastAsia="en-US"/>
              </w:rPr>
            </w:pPr>
            <w:r w:rsidRPr="00621EF3">
              <w:rPr>
                <w:rFonts w:ascii="Calibri" w:hAnsi="Calibri" w:cs="Calibri"/>
                <w:b/>
                <w:bCs/>
                <w:color w:val="000000"/>
                <w:sz w:val="18"/>
                <w:szCs w:val="18"/>
                <w:lang w:val="en-US" w:eastAsia="en-US"/>
              </w:rPr>
              <w:t>78</w:t>
            </w:r>
          </w:p>
        </w:tc>
        <w:tc>
          <w:tcPr>
            <w:tcW w:w="560" w:type="dxa"/>
            <w:tcBorders>
              <w:top w:val="nil"/>
              <w:left w:val="nil"/>
              <w:bottom w:val="single" w:sz="4" w:space="0" w:color="auto"/>
              <w:right w:val="single" w:sz="4" w:space="0" w:color="auto"/>
            </w:tcBorders>
            <w:shd w:val="clear" w:color="000000" w:fill="D9D9D9"/>
            <w:vAlign w:val="center"/>
            <w:hideMark/>
          </w:tcPr>
          <w:p w14:paraId="58F78F37" w14:textId="77777777" w:rsidR="00621EF3" w:rsidRPr="00621EF3" w:rsidRDefault="00621EF3" w:rsidP="00621EF3">
            <w:pPr>
              <w:overflowPunct/>
              <w:autoSpaceDE/>
              <w:autoSpaceDN/>
              <w:adjustRightInd/>
              <w:spacing w:after="0"/>
              <w:jc w:val="center"/>
              <w:textAlignment w:val="auto"/>
              <w:rPr>
                <w:rFonts w:ascii="Calibri" w:hAnsi="Calibri" w:cs="Calibri"/>
                <w:b/>
                <w:bCs/>
                <w:color w:val="000000"/>
                <w:sz w:val="18"/>
                <w:szCs w:val="18"/>
                <w:lang w:val="en-US" w:eastAsia="en-US"/>
              </w:rPr>
            </w:pPr>
            <w:r w:rsidRPr="00621EF3">
              <w:rPr>
                <w:rFonts w:ascii="Calibri" w:hAnsi="Calibri" w:cs="Calibri"/>
                <w:b/>
                <w:bCs/>
                <w:color w:val="000000"/>
                <w:sz w:val="18"/>
                <w:szCs w:val="18"/>
                <w:lang w:val="en-US" w:eastAsia="en-US"/>
              </w:rPr>
              <w:t>59</w:t>
            </w:r>
          </w:p>
        </w:tc>
        <w:tc>
          <w:tcPr>
            <w:tcW w:w="560" w:type="dxa"/>
            <w:tcBorders>
              <w:top w:val="nil"/>
              <w:left w:val="nil"/>
              <w:bottom w:val="single" w:sz="4" w:space="0" w:color="auto"/>
              <w:right w:val="single" w:sz="4" w:space="0" w:color="auto"/>
            </w:tcBorders>
            <w:shd w:val="clear" w:color="000000" w:fill="D9D9D9"/>
            <w:vAlign w:val="center"/>
            <w:hideMark/>
          </w:tcPr>
          <w:p w14:paraId="2C3E1769" w14:textId="77777777" w:rsidR="00621EF3" w:rsidRPr="00621EF3" w:rsidRDefault="00621EF3" w:rsidP="00621EF3">
            <w:pPr>
              <w:overflowPunct/>
              <w:autoSpaceDE/>
              <w:autoSpaceDN/>
              <w:adjustRightInd/>
              <w:spacing w:after="0"/>
              <w:jc w:val="center"/>
              <w:textAlignment w:val="auto"/>
              <w:rPr>
                <w:rFonts w:ascii="Calibri" w:hAnsi="Calibri" w:cs="Calibri"/>
                <w:b/>
                <w:bCs/>
                <w:color w:val="000000"/>
                <w:sz w:val="18"/>
                <w:szCs w:val="18"/>
                <w:lang w:val="en-US" w:eastAsia="en-US"/>
              </w:rPr>
            </w:pPr>
            <w:r w:rsidRPr="00621EF3">
              <w:rPr>
                <w:rFonts w:ascii="Calibri" w:hAnsi="Calibri" w:cs="Calibri"/>
                <w:b/>
                <w:bCs/>
                <w:color w:val="000000"/>
                <w:sz w:val="18"/>
                <w:szCs w:val="18"/>
                <w:lang w:val="en-US" w:eastAsia="en-US"/>
              </w:rPr>
              <w:t>39</w:t>
            </w:r>
          </w:p>
        </w:tc>
        <w:tc>
          <w:tcPr>
            <w:tcW w:w="560" w:type="dxa"/>
            <w:tcBorders>
              <w:top w:val="nil"/>
              <w:left w:val="nil"/>
              <w:bottom w:val="single" w:sz="4" w:space="0" w:color="auto"/>
              <w:right w:val="single" w:sz="4" w:space="0" w:color="auto"/>
            </w:tcBorders>
            <w:shd w:val="clear" w:color="000000" w:fill="D9D9D9"/>
            <w:vAlign w:val="center"/>
            <w:hideMark/>
          </w:tcPr>
          <w:p w14:paraId="6514D63B" w14:textId="77777777" w:rsidR="00621EF3" w:rsidRPr="00621EF3" w:rsidRDefault="00621EF3" w:rsidP="00621EF3">
            <w:pPr>
              <w:overflowPunct/>
              <w:autoSpaceDE/>
              <w:autoSpaceDN/>
              <w:adjustRightInd/>
              <w:spacing w:after="0"/>
              <w:jc w:val="center"/>
              <w:textAlignment w:val="auto"/>
              <w:rPr>
                <w:rFonts w:ascii="Calibri" w:hAnsi="Calibri" w:cs="Calibri"/>
                <w:b/>
                <w:bCs/>
                <w:color w:val="000000"/>
                <w:sz w:val="18"/>
                <w:szCs w:val="18"/>
                <w:lang w:val="en-US" w:eastAsia="en-US"/>
              </w:rPr>
            </w:pPr>
            <w:r w:rsidRPr="00621EF3">
              <w:rPr>
                <w:rFonts w:ascii="Calibri" w:hAnsi="Calibri" w:cs="Calibri"/>
                <w:b/>
                <w:bCs/>
                <w:color w:val="000000"/>
                <w:sz w:val="18"/>
                <w:szCs w:val="18"/>
                <w:lang w:val="en-US" w:eastAsia="en-US"/>
              </w:rPr>
              <w:t>20</w:t>
            </w:r>
          </w:p>
        </w:tc>
      </w:tr>
    </w:tbl>
    <w:p w14:paraId="749C0CC3" w14:textId="77777777" w:rsidR="00621EF3" w:rsidRPr="001F4DB2" w:rsidRDefault="00621EF3" w:rsidP="00C34AD8">
      <w:pPr>
        <w:widowControl w:val="0"/>
        <w:spacing w:after="0"/>
        <w:rPr>
          <w:rFonts w:eastAsiaTheme="minorEastAsia"/>
          <w:bCs/>
          <w:lang w:eastAsia="zh-CN"/>
        </w:rPr>
      </w:pPr>
    </w:p>
    <w:p w14:paraId="647594BE" w14:textId="5643B79F" w:rsidR="00C34AD8" w:rsidRDefault="009E44F3" w:rsidP="004955CA">
      <w:pPr>
        <w:widowControl w:val="0"/>
        <w:spacing w:after="0"/>
        <w:rPr>
          <w:rFonts w:eastAsiaTheme="minorEastAsia"/>
          <w:b/>
          <w:lang w:eastAsia="zh-CN"/>
        </w:rPr>
      </w:pPr>
      <w:r>
        <w:rPr>
          <w:rFonts w:eastAsiaTheme="minorEastAsia"/>
          <w:b/>
          <w:lang w:eastAsia="zh-CN"/>
        </w:rPr>
        <w:t>As can be observed, these simple fractions from on</w:t>
      </w:r>
      <w:r w:rsidR="00E7084E">
        <w:rPr>
          <w:rFonts w:eastAsiaTheme="minorEastAsia"/>
          <w:b/>
          <w:lang w:eastAsia="zh-CN"/>
        </w:rPr>
        <w:t>e</w:t>
      </w:r>
      <w:r>
        <w:rPr>
          <w:rFonts w:eastAsiaTheme="minorEastAsia"/>
          <w:b/>
          <w:lang w:eastAsia="zh-CN"/>
        </w:rPr>
        <w:t xml:space="preserve"> to six 1/14 provide a uniform RB extension step from </w:t>
      </w:r>
      <w:proofErr w:type="gramStart"/>
      <w:r>
        <w:rPr>
          <w:rFonts w:eastAsiaTheme="minorEastAsia"/>
          <w:b/>
          <w:lang w:eastAsia="zh-CN"/>
        </w:rPr>
        <w:t>ceil(</w:t>
      </w:r>
      <w:proofErr w:type="gramEnd"/>
      <w:r>
        <w:rPr>
          <w:rFonts w:eastAsiaTheme="minorEastAsia"/>
          <w:b/>
          <w:lang w:eastAsia="zh-CN"/>
        </w:rPr>
        <w:t>NRB/14) to ceil(NRB/2). All the RB extension</w:t>
      </w:r>
      <w:r w:rsidR="00E7084E">
        <w:rPr>
          <w:rFonts w:eastAsiaTheme="minorEastAsia"/>
          <w:b/>
          <w:lang w:eastAsia="zh-CN"/>
        </w:rPr>
        <w:t>s</w:t>
      </w:r>
      <w:r>
        <w:rPr>
          <w:rFonts w:eastAsiaTheme="minorEastAsia"/>
          <w:b/>
          <w:lang w:eastAsia="zh-CN"/>
        </w:rPr>
        <w:t xml:space="preserve"> can be coded with 3 bits per extension side as shown in Table 3.</w:t>
      </w:r>
    </w:p>
    <w:p w14:paraId="02C27037" w14:textId="7857B1A3" w:rsidR="00F87BDA" w:rsidRDefault="00F87BDA" w:rsidP="004955CA">
      <w:pPr>
        <w:widowControl w:val="0"/>
        <w:spacing w:after="0"/>
        <w:rPr>
          <w:rFonts w:eastAsiaTheme="minorEastAsia"/>
          <w:b/>
          <w:lang w:eastAsia="zh-CN"/>
        </w:rPr>
      </w:pPr>
    </w:p>
    <w:p w14:paraId="4F8A2233" w14:textId="77777777" w:rsidR="00F87BDA" w:rsidRDefault="00F87BDA" w:rsidP="00F87BDA">
      <w:pPr>
        <w:pStyle w:val="Caption"/>
        <w:keepNext/>
      </w:pPr>
      <w:r>
        <w:t xml:space="preserve">Table </w:t>
      </w:r>
      <w:r>
        <w:fldChar w:fldCharType="begin"/>
      </w:r>
      <w:r>
        <w:instrText xml:space="preserve"> SEQ Table \* ARABIC </w:instrText>
      </w:r>
      <w:r>
        <w:fldChar w:fldCharType="separate"/>
      </w:r>
      <w:r>
        <w:rPr>
          <w:noProof/>
        </w:rPr>
        <w:t>3</w:t>
      </w:r>
      <w:r>
        <w:fldChar w:fldCharType="end"/>
      </w:r>
      <w:r>
        <w:t>: coding of fractional NRB extensions</w:t>
      </w:r>
    </w:p>
    <w:tbl>
      <w:tblPr>
        <w:tblW w:w="3754" w:type="dxa"/>
        <w:jc w:val="center"/>
        <w:tblLook w:val="04A0" w:firstRow="1" w:lastRow="0" w:firstColumn="1" w:lastColumn="0" w:noHBand="0" w:noVBand="1"/>
      </w:tblPr>
      <w:tblGrid>
        <w:gridCol w:w="572"/>
        <w:gridCol w:w="862"/>
        <w:gridCol w:w="2320"/>
      </w:tblGrid>
      <w:tr w:rsidR="00F87BDA" w:rsidRPr="004C03EC" w14:paraId="105F2727" w14:textId="77777777" w:rsidTr="00761548">
        <w:trPr>
          <w:trHeight w:val="240"/>
          <w:jc w:val="center"/>
        </w:trPr>
        <w:tc>
          <w:tcPr>
            <w:tcW w:w="5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4ECEDB" w14:textId="77777777" w:rsidR="00F87BDA" w:rsidRPr="004C03EC" w:rsidRDefault="00F87BDA" w:rsidP="00761548">
            <w:pPr>
              <w:overflowPunct/>
              <w:autoSpaceDE/>
              <w:autoSpaceDN/>
              <w:adjustRightInd/>
              <w:spacing w:after="0"/>
              <w:jc w:val="right"/>
              <w:textAlignment w:val="auto"/>
              <w:rPr>
                <w:rFonts w:ascii="Calibri" w:hAnsi="Calibri" w:cs="Calibri"/>
                <w:color w:val="000000"/>
                <w:sz w:val="18"/>
                <w:szCs w:val="18"/>
                <w:lang w:val="en-US" w:eastAsia="en-US"/>
              </w:rPr>
            </w:pPr>
            <w:r w:rsidRPr="004C03EC">
              <w:rPr>
                <w:rFonts w:ascii="Calibri" w:hAnsi="Calibri" w:cs="Calibri"/>
                <w:color w:val="000000"/>
                <w:sz w:val="18"/>
                <w:szCs w:val="18"/>
                <w:lang w:val="en-US" w:eastAsia="en-US"/>
              </w:rPr>
              <w:t>code</w:t>
            </w:r>
          </w:p>
        </w:tc>
        <w:tc>
          <w:tcPr>
            <w:tcW w:w="862" w:type="dxa"/>
            <w:tcBorders>
              <w:top w:val="single" w:sz="4" w:space="0" w:color="auto"/>
              <w:left w:val="nil"/>
              <w:bottom w:val="single" w:sz="4" w:space="0" w:color="auto"/>
              <w:right w:val="single" w:sz="4" w:space="0" w:color="auto"/>
            </w:tcBorders>
            <w:shd w:val="clear" w:color="auto" w:fill="auto"/>
            <w:noWrap/>
            <w:vAlign w:val="center"/>
            <w:hideMark/>
          </w:tcPr>
          <w:p w14:paraId="4762503F" w14:textId="77777777" w:rsidR="00F87BDA" w:rsidRPr="004C03EC" w:rsidRDefault="00F87BDA" w:rsidP="00761548">
            <w:pPr>
              <w:overflowPunct/>
              <w:autoSpaceDE/>
              <w:autoSpaceDN/>
              <w:adjustRightInd/>
              <w:spacing w:after="0"/>
              <w:jc w:val="right"/>
              <w:textAlignment w:val="auto"/>
              <w:rPr>
                <w:rFonts w:ascii="Calibri" w:hAnsi="Calibri" w:cs="Calibri"/>
                <w:color w:val="000000"/>
                <w:sz w:val="18"/>
                <w:szCs w:val="18"/>
                <w:lang w:val="en-US" w:eastAsia="en-US"/>
              </w:rPr>
            </w:pPr>
            <w:r w:rsidRPr="004C03EC">
              <w:rPr>
                <w:rFonts w:ascii="Calibri" w:hAnsi="Calibri" w:cs="Calibri"/>
                <w:color w:val="000000"/>
                <w:sz w:val="18"/>
                <w:szCs w:val="18"/>
                <w:lang w:val="en-US" w:eastAsia="en-US"/>
              </w:rPr>
              <w:t>BIN2DEC</w:t>
            </w:r>
          </w:p>
        </w:tc>
        <w:tc>
          <w:tcPr>
            <w:tcW w:w="2320" w:type="dxa"/>
            <w:tcBorders>
              <w:top w:val="single" w:sz="4" w:space="0" w:color="auto"/>
              <w:left w:val="nil"/>
              <w:bottom w:val="single" w:sz="4" w:space="0" w:color="auto"/>
              <w:right w:val="single" w:sz="4" w:space="0" w:color="auto"/>
            </w:tcBorders>
            <w:shd w:val="clear" w:color="auto" w:fill="auto"/>
            <w:noWrap/>
            <w:vAlign w:val="center"/>
            <w:hideMark/>
          </w:tcPr>
          <w:p w14:paraId="21AD4C91" w14:textId="77777777" w:rsidR="00F87BDA" w:rsidRPr="004C03EC" w:rsidRDefault="00F87BDA" w:rsidP="00761548">
            <w:pPr>
              <w:overflowPunct/>
              <w:autoSpaceDE/>
              <w:autoSpaceDN/>
              <w:adjustRightInd/>
              <w:spacing w:after="0"/>
              <w:jc w:val="right"/>
              <w:textAlignment w:val="auto"/>
              <w:rPr>
                <w:rFonts w:ascii="Calibri" w:hAnsi="Calibri" w:cs="Calibri"/>
                <w:color w:val="000000"/>
                <w:sz w:val="18"/>
                <w:szCs w:val="18"/>
                <w:lang w:val="en-US" w:eastAsia="en-US"/>
              </w:rPr>
            </w:pPr>
            <w:r w:rsidRPr="004C03EC">
              <w:rPr>
                <w:rFonts w:ascii="Calibri" w:hAnsi="Calibri" w:cs="Calibri"/>
                <w:color w:val="000000"/>
                <w:sz w:val="18"/>
                <w:szCs w:val="18"/>
                <w:lang w:val="en-US" w:eastAsia="en-US"/>
              </w:rPr>
              <w:t>RB extension</w:t>
            </w:r>
          </w:p>
        </w:tc>
      </w:tr>
      <w:tr w:rsidR="00F87BDA" w:rsidRPr="004C03EC" w14:paraId="4086DD57" w14:textId="77777777" w:rsidTr="00761548">
        <w:trPr>
          <w:trHeight w:val="240"/>
          <w:jc w:val="center"/>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D6DB9CB" w14:textId="77777777" w:rsidR="00F87BDA" w:rsidRPr="004C03EC" w:rsidRDefault="00F87BDA" w:rsidP="00761548">
            <w:pPr>
              <w:overflowPunct/>
              <w:autoSpaceDE/>
              <w:autoSpaceDN/>
              <w:adjustRightInd/>
              <w:spacing w:after="0"/>
              <w:jc w:val="right"/>
              <w:textAlignment w:val="auto"/>
              <w:rPr>
                <w:rFonts w:ascii="Calibri" w:hAnsi="Calibri" w:cs="Calibri"/>
                <w:color w:val="000000"/>
                <w:sz w:val="18"/>
                <w:szCs w:val="18"/>
                <w:lang w:val="en-US" w:eastAsia="en-US"/>
              </w:rPr>
            </w:pPr>
            <w:r w:rsidRPr="004C03EC">
              <w:rPr>
                <w:rFonts w:ascii="Calibri" w:hAnsi="Calibri" w:cs="Calibri"/>
                <w:color w:val="000000"/>
                <w:sz w:val="18"/>
                <w:szCs w:val="18"/>
                <w:lang w:val="en-US" w:eastAsia="en-US"/>
              </w:rPr>
              <w:t>111</w:t>
            </w:r>
          </w:p>
        </w:tc>
        <w:tc>
          <w:tcPr>
            <w:tcW w:w="862" w:type="dxa"/>
            <w:tcBorders>
              <w:top w:val="nil"/>
              <w:left w:val="nil"/>
              <w:bottom w:val="single" w:sz="4" w:space="0" w:color="auto"/>
              <w:right w:val="single" w:sz="4" w:space="0" w:color="auto"/>
            </w:tcBorders>
            <w:shd w:val="clear" w:color="auto" w:fill="auto"/>
            <w:noWrap/>
            <w:vAlign w:val="center"/>
            <w:hideMark/>
          </w:tcPr>
          <w:p w14:paraId="657D642E" w14:textId="77777777" w:rsidR="00F87BDA" w:rsidRPr="004C03EC" w:rsidRDefault="00F87BDA" w:rsidP="00761548">
            <w:pPr>
              <w:overflowPunct/>
              <w:autoSpaceDE/>
              <w:autoSpaceDN/>
              <w:adjustRightInd/>
              <w:spacing w:after="0"/>
              <w:jc w:val="right"/>
              <w:textAlignment w:val="auto"/>
              <w:rPr>
                <w:rFonts w:ascii="Calibri" w:hAnsi="Calibri" w:cs="Calibri"/>
                <w:color w:val="000000"/>
                <w:sz w:val="18"/>
                <w:szCs w:val="18"/>
                <w:lang w:val="en-US" w:eastAsia="en-US"/>
              </w:rPr>
            </w:pPr>
            <w:r w:rsidRPr="004C03EC">
              <w:rPr>
                <w:rFonts w:ascii="Calibri" w:hAnsi="Calibri" w:cs="Calibri"/>
                <w:color w:val="000000"/>
                <w:sz w:val="18"/>
                <w:szCs w:val="18"/>
                <w:lang w:val="en-US" w:eastAsia="en-US"/>
              </w:rPr>
              <w:t>7</w:t>
            </w:r>
          </w:p>
        </w:tc>
        <w:tc>
          <w:tcPr>
            <w:tcW w:w="2320" w:type="dxa"/>
            <w:tcBorders>
              <w:top w:val="nil"/>
              <w:left w:val="nil"/>
              <w:bottom w:val="single" w:sz="4" w:space="0" w:color="auto"/>
              <w:right w:val="single" w:sz="4" w:space="0" w:color="auto"/>
            </w:tcBorders>
            <w:shd w:val="clear" w:color="auto" w:fill="auto"/>
            <w:noWrap/>
            <w:vAlign w:val="center"/>
            <w:hideMark/>
          </w:tcPr>
          <w:p w14:paraId="167924D6" w14:textId="77777777" w:rsidR="00F87BDA" w:rsidRPr="004C03EC" w:rsidRDefault="00F87BDA" w:rsidP="00761548">
            <w:pPr>
              <w:overflowPunct/>
              <w:autoSpaceDE/>
              <w:autoSpaceDN/>
              <w:adjustRightInd/>
              <w:spacing w:after="0"/>
              <w:jc w:val="right"/>
              <w:textAlignment w:val="auto"/>
              <w:rPr>
                <w:rFonts w:ascii="Calibri" w:hAnsi="Calibri" w:cs="Calibri"/>
                <w:color w:val="000000"/>
                <w:sz w:val="18"/>
                <w:szCs w:val="18"/>
                <w:lang w:val="en-US" w:eastAsia="en-US"/>
              </w:rPr>
            </w:pPr>
            <w:r w:rsidRPr="004C03EC">
              <w:rPr>
                <w:rFonts w:ascii="Calibri" w:hAnsi="Calibri" w:cs="Calibri"/>
                <w:color w:val="000000"/>
                <w:sz w:val="18"/>
                <w:szCs w:val="18"/>
                <w:lang w:val="en-US" w:eastAsia="en-US"/>
              </w:rPr>
              <w:t>ceil(7xNRB/</w:t>
            </w:r>
            <w:proofErr w:type="gramStart"/>
            <w:r w:rsidRPr="004C03EC">
              <w:rPr>
                <w:rFonts w:ascii="Calibri" w:hAnsi="Calibri" w:cs="Calibri"/>
                <w:color w:val="000000"/>
                <w:sz w:val="18"/>
                <w:szCs w:val="18"/>
                <w:lang w:val="en-US" w:eastAsia="en-US"/>
              </w:rPr>
              <w:t>14)=</w:t>
            </w:r>
            <w:proofErr w:type="gramEnd"/>
            <w:r w:rsidRPr="004C03EC">
              <w:rPr>
                <w:rFonts w:ascii="Calibri" w:hAnsi="Calibri" w:cs="Calibri"/>
                <w:color w:val="000000"/>
                <w:sz w:val="18"/>
                <w:szCs w:val="18"/>
                <w:lang w:val="en-US" w:eastAsia="en-US"/>
              </w:rPr>
              <w:t>ceil(NRB/2)</w:t>
            </w:r>
          </w:p>
        </w:tc>
      </w:tr>
      <w:tr w:rsidR="00F87BDA" w:rsidRPr="004C03EC" w14:paraId="7F5F72B5" w14:textId="77777777" w:rsidTr="00761548">
        <w:trPr>
          <w:trHeight w:val="240"/>
          <w:jc w:val="center"/>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0E623E8" w14:textId="77777777" w:rsidR="00F87BDA" w:rsidRPr="004C03EC" w:rsidRDefault="00F87BDA" w:rsidP="00761548">
            <w:pPr>
              <w:overflowPunct/>
              <w:autoSpaceDE/>
              <w:autoSpaceDN/>
              <w:adjustRightInd/>
              <w:spacing w:after="0"/>
              <w:jc w:val="right"/>
              <w:textAlignment w:val="auto"/>
              <w:rPr>
                <w:rFonts w:ascii="Calibri" w:hAnsi="Calibri" w:cs="Calibri"/>
                <w:color w:val="000000"/>
                <w:sz w:val="18"/>
                <w:szCs w:val="18"/>
                <w:lang w:val="en-US" w:eastAsia="en-US"/>
              </w:rPr>
            </w:pPr>
            <w:r w:rsidRPr="004C03EC">
              <w:rPr>
                <w:rFonts w:ascii="Calibri" w:hAnsi="Calibri" w:cs="Calibri"/>
                <w:color w:val="000000"/>
                <w:sz w:val="18"/>
                <w:szCs w:val="18"/>
                <w:lang w:val="en-US" w:eastAsia="en-US"/>
              </w:rPr>
              <w:t>110</w:t>
            </w:r>
          </w:p>
        </w:tc>
        <w:tc>
          <w:tcPr>
            <w:tcW w:w="862" w:type="dxa"/>
            <w:tcBorders>
              <w:top w:val="nil"/>
              <w:left w:val="nil"/>
              <w:bottom w:val="single" w:sz="4" w:space="0" w:color="auto"/>
              <w:right w:val="single" w:sz="4" w:space="0" w:color="auto"/>
            </w:tcBorders>
            <w:shd w:val="clear" w:color="auto" w:fill="auto"/>
            <w:noWrap/>
            <w:vAlign w:val="center"/>
            <w:hideMark/>
          </w:tcPr>
          <w:p w14:paraId="67FC31D4" w14:textId="77777777" w:rsidR="00F87BDA" w:rsidRPr="004C03EC" w:rsidRDefault="00F87BDA" w:rsidP="00761548">
            <w:pPr>
              <w:overflowPunct/>
              <w:autoSpaceDE/>
              <w:autoSpaceDN/>
              <w:adjustRightInd/>
              <w:spacing w:after="0"/>
              <w:jc w:val="right"/>
              <w:textAlignment w:val="auto"/>
              <w:rPr>
                <w:rFonts w:ascii="Calibri" w:hAnsi="Calibri" w:cs="Calibri"/>
                <w:color w:val="000000"/>
                <w:sz w:val="18"/>
                <w:szCs w:val="18"/>
                <w:lang w:val="en-US" w:eastAsia="en-US"/>
              </w:rPr>
            </w:pPr>
            <w:r w:rsidRPr="004C03EC">
              <w:rPr>
                <w:rFonts w:ascii="Calibri" w:hAnsi="Calibri" w:cs="Calibri"/>
                <w:color w:val="000000"/>
                <w:sz w:val="18"/>
                <w:szCs w:val="18"/>
                <w:lang w:val="en-US" w:eastAsia="en-US"/>
              </w:rPr>
              <w:t>6</w:t>
            </w:r>
          </w:p>
        </w:tc>
        <w:tc>
          <w:tcPr>
            <w:tcW w:w="2320" w:type="dxa"/>
            <w:tcBorders>
              <w:top w:val="nil"/>
              <w:left w:val="nil"/>
              <w:bottom w:val="single" w:sz="4" w:space="0" w:color="auto"/>
              <w:right w:val="single" w:sz="4" w:space="0" w:color="auto"/>
            </w:tcBorders>
            <w:shd w:val="clear" w:color="auto" w:fill="auto"/>
            <w:noWrap/>
            <w:vAlign w:val="center"/>
            <w:hideMark/>
          </w:tcPr>
          <w:p w14:paraId="511074D8" w14:textId="77777777" w:rsidR="00F87BDA" w:rsidRPr="004C03EC" w:rsidRDefault="00F87BDA" w:rsidP="00761548">
            <w:pPr>
              <w:overflowPunct/>
              <w:autoSpaceDE/>
              <w:autoSpaceDN/>
              <w:adjustRightInd/>
              <w:spacing w:after="0"/>
              <w:jc w:val="right"/>
              <w:textAlignment w:val="auto"/>
              <w:rPr>
                <w:rFonts w:ascii="Calibri" w:hAnsi="Calibri" w:cs="Calibri"/>
                <w:color w:val="000000"/>
                <w:sz w:val="18"/>
                <w:szCs w:val="18"/>
                <w:lang w:val="en-US" w:eastAsia="en-US"/>
              </w:rPr>
            </w:pPr>
            <w:r w:rsidRPr="004C03EC">
              <w:rPr>
                <w:rFonts w:ascii="Calibri" w:hAnsi="Calibri" w:cs="Calibri"/>
                <w:color w:val="000000"/>
                <w:sz w:val="18"/>
                <w:szCs w:val="18"/>
                <w:lang w:val="en-US" w:eastAsia="en-US"/>
              </w:rPr>
              <w:t>ceil(6xNRB/14)</w:t>
            </w:r>
          </w:p>
        </w:tc>
      </w:tr>
      <w:tr w:rsidR="00F87BDA" w:rsidRPr="004C03EC" w14:paraId="40D4696A" w14:textId="77777777" w:rsidTr="00761548">
        <w:trPr>
          <w:trHeight w:val="240"/>
          <w:jc w:val="center"/>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BC08DB5" w14:textId="77777777" w:rsidR="00F87BDA" w:rsidRPr="004C03EC" w:rsidRDefault="00F87BDA" w:rsidP="00761548">
            <w:pPr>
              <w:overflowPunct/>
              <w:autoSpaceDE/>
              <w:autoSpaceDN/>
              <w:adjustRightInd/>
              <w:spacing w:after="0"/>
              <w:jc w:val="right"/>
              <w:textAlignment w:val="auto"/>
              <w:rPr>
                <w:rFonts w:ascii="Calibri" w:hAnsi="Calibri" w:cs="Calibri"/>
                <w:color w:val="000000"/>
                <w:sz w:val="18"/>
                <w:szCs w:val="18"/>
                <w:lang w:val="en-US" w:eastAsia="en-US"/>
              </w:rPr>
            </w:pPr>
            <w:r w:rsidRPr="004C03EC">
              <w:rPr>
                <w:rFonts w:ascii="Calibri" w:hAnsi="Calibri" w:cs="Calibri"/>
                <w:color w:val="000000"/>
                <w:sz w:val="18"/>
                <w:szCs w:val="18"/>
                <w:lang w:val="en-US" w:eastAsia="en-US"/>
              </w:rPr>
              <w:t>101</w:t>
            </w:r>
          </w:p>
        </w:tc>
        <w:tc>
          <w:tcPr>
            <w:tcW w:w="862" w:type="dxa"/>
            <w:tcBorders>
              <w:top w:val="nil"/>
              <w:left w:val="nil"/>
              <w:bottom w:val="single" w:sz="4" w:space="0" w:color="auto"/>
              <w:right w:val="single" w:sz="4" w:space="0" w:color="auto"/>
            </w:tcBorders>
            <w:shd w:val="clear" w:color="auto" w:fill="auto"/>
            <w:noWrap/>
            <w:vAlign w:val="center"/>
            <w:hideMark/>
          </w:tcPr>
          <w:p w14:paraId="75090748" w14:textId="77777777" w:rsidR="00F87BDA" w:rsidRPr="004C03EC" w:rsidRDefault="00F87BDA" w:rsidP="00761548">
            <w:pPr>
              <w:overflowPunct/>
              <w:autoSpaceDE/>
              <w:autoSpaceDN/>
              <w:adjustRightInd/>
              <w:spacing w:after="0"/>
              <w:jc w:val="right"/>
              <w:textAlignment w:val="auto"/>
              <w:rPr>
                <w:rFonts w:ascii="Calibri" w:hAnsi="Calibri" w:cs="Calibri"/>
                <w:color w:val="000000"/>
                <w:sz w:val="18"/>
                <w:szCs w:val="18"/>
                <w:lang w:val="en-US" w:eastAsia="en-US"/>
              </w:rPr>
            </w:pPr>
            <w:r w:rsidRPr="004C03EC">
              <w:rPr>
                <w:rFonts w:ascii="Calibri" w:hAnsi="Calibri" w:cs="Calibri"/>
                <w:color w:val="000000"/>
                <w:sz w:val="18"/>
                <w:szCs w:val="18"/>
                <w:lang w:val="en-US" w:eastAsia="en-US"/>
              </w:rPr>
              <w:t>5</w:t>
            </w:r>
          </w:p>
        </w:tc>
        <w:tc>
          <w:tcPr>
            <w:tcW w:w="2320" w:type="dxa"/>
            <w:tcBorders>
              <w:top w:val="nil"/>
              <w:left w:val="nil"/>
              <w:bottom w:val="single" w:sz="4" w:space="0" w:color="auto"/>
              <w:right w:val="single" w:sz="4" w:space="0" w:color="auto"/>
            </w:tcBorders>
            <w:shd w:val="clear" w:color="auto" w:fill="auto"/>
            <w:noWrap/>
            <w:vAlign w:val="center"/>
            <w:hideMark/>
          </w:tcPr>
          <w:p w14:paraId="76694DA3" w14:textId="77777777" w:rsidR="00F87BDA" w:rsidRPr="004C03EC" w:rsidRDefault="00F87BDA" w:rsidP="00761548">
            <w:pPr>
              <w:overflowPunct/>
              <w:autoSpaceDE/>
              <w:autoSpaceDN/>
              <w:adjustRightInd/>
              <w:spacing w:after="0"/>
              <w:jc w:val="right"/>
              <w:textAlignment w:val="auto"/>
              <w:rPr>
                <w:rFonts w:ascii="Calibri" w:hAnsi="Calibri" w:cs="Calibri"/>
                <w:color w:val="000000"/>
                <w:sz w:val="18"/>
                <w:szCs w:val="18"/>
                <w:lang w:val="en-US" w:eastAsia="en-US"/>
              </w:rPr>
            </w:pPr>
            <w:r w:rsidRPr="004C03EC">
              <w:rPr>
                <w:rFonts w:ascii="Calibri" w:hAnsi="Calibri" w:cs="Calibri"/>
                <w:color w:val="000000"/>
                <w:sz w:val="18"/>
                <w:szCs w:val="18"/>
                <w:lang w:val="en-US" w:eastAsia="en-US"/>
              </w:rPr>
              <w:t>ceil(5xNRB/14)</w:t>
            </w:r>
          </w:p>
        </w:tc>
      </w:tr>
      <w:tr w:rsidR="00F87BDA" w:rsidRPr="004C03EC" w14:paraId="1A3EF005" w14:textId="77777777" w:rsidTr="00761548">
        <w:trPr>
          <w:trHeight w:val="240"/>
          <w:jc w:val="center"/>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FDCE372" w14:textId="77777777" w:rsidR="00F87BDA" w:rsidRPr="004C03EC" w:rsidRDefault="00F87BDA" w:rsidP="00761548">
            <w:pPr>
              <w:overflowPunct/>
              <w:autoSpaceDE/>
              <w:autoSpaceDN/>
              <w:adjustRightInd/>
              <w:spacing w:after="0"/>
              <w:jc w:val="right"/>
              <w:textAlignment w:val="auto"/>
              <w:rPr>
                <w:rFonts w:ascii="Calibri" w:hAnsi="Calibri" w:cs="Calibri"/>
                <w:color w:val="000000"/>
                <w:sz w:val="18"/>
                <w:szCs w:val="18"/>
                <w:lang w:val="en-US" w:eastAsia="en-US"/>
              </w:rPr>
            </w:pPr>
            <w:r w:rsidRPr="004C03EC">
              <w:rPr>
                <w:rFonts w:ascii="Calibri" w:hAnsi="Calibri" w:cs="Calibri"/>
                <w:color w:val="000000"/>
                <w:sz w:val="18"/>
                <w:szCs w:val="18"/>
                <w:lang w:val="en-US" w:eastAsia="en-US"/>
              </w:rPr>
              <w:t>100</w:t>
            </w:r>
          </w:p>
        </w:tc>
        <w:tc>
          <w:tcPr>
            <w:tcW w:w="862" w:type="dxa"/>
            <w:tcBorders>
              <w:top w:val="nil"/>
              <w:left w:val="nil"/>
              <w:bottom w:val="single" w:sz="4" w:space="0" w:color="auto"/>
              <w:right w:val="single" w:sz="4" w:space="0" w:color="auto"/>
            </w:tcBorders>
            <w:shd w:val="clear" w:color="auto" w:fill="auto"/>
            <w:noWrap/>
            <w:vAlign w:val="center"/>
            <w:hideMark/>
          </w:tcPr>
          <w:p w14:paraId="480E6162" w14:textId="77777777" w:rsidR="00F87BDA" w:rsidRPr="004C03EC" w:rsidRDefault="00F87BDA" w:rsidP="00761548">
            <w:pPr>
              <w:overflowPunct/>
              <w:autoSpaceDE/>
              <w:autoSpaceDN/>
              <w:adjustRightInd/>
              <w:spacing w:after="0"/>
              <w:jc w:val="right"/>
              <w:textAlignment w:val="auto"/>
              <w:rPr>
                <w:rFonts w:ascii="Calibri" w:hAnsi="Calibri" w:cs="Calibri"/>
                <w:color w:val="000000"/>
                <w:sz w:val="18"/>
                <w:szCs w:val="18"/>
                <w:lang w:val="en-US" w:eastAsia="en-US"/>
              </w:rPr>
            </w:pPr>
            <w:r w:rsidRPr="004C03EC">
              <w:rPr>
                <w:rFonts w:ascii="Calibri" w:hAnsi="Calibri" w:cs="Calibri"/>
                <w:color w:val="000000"/>
                <w:sz w:val="18"/>
                <w:szCs w:val="18"/>
                <w:lang w:val="en-US" w:eastAsia="en-US"/>
              </w:rPr>
              <w:t>4</w:t>
            </w:r>
          </w:p>
        </w:tc>
        <w:tc>
          <w:tcPr>
            <w:tcW w:w="2320" w:type="dxa"/>
            <w:tcBorders>
              <w:top w:val="nil"/>
              <w:left w:val="nil"/>
              <w:bottom w:val="single" w:sz="4" w:space="0" w:color="auto"/>
              <w:right w:val="single" w:sz="4" w:space="0" w:color="auto"/>
            </w:tcBorders>
            <w:shd w:val="clear" w:color="auto" w:fill="auto"/>
            <w:noWrap/>
            <w:vAlign w:val="center"/>
            <w:hideMark/>
          </w:tcPr>
          <w:p w14:paraId="6ABAC5B0" w14:textId="77777777" w:rsidR="00F87BDA" w:rsidRPr="004C03EC" w:rsidRDefault="00F87BDA" w:rsidP="00761548">
            <w:pPr>
              <w:overflowPunct/>
              <w:autoSpaceDE/>
              <w:autoSpaceDN/>
              <w:adjustRightInd/>
              <w:spacing w:after="0"/>
              <w:jc w:val="right"/>
              <w:textAlignment w:val="auto"/>
              <w:rPr>
                <w:rFonts w:ascii="Calibri" w:hAnsi="Calibri" w:cs="Calibri"/>
                <w:color w:val="000000"/>
                <w:sz w:val="18"/>
                <w:szCs w:val="18"/>
                <w:lang w:val="en-US" w:eastAsia="en-US"/>
              </w:rPr>
            </w:pPr>
            <w:r w:rsidRPr="004C03EC">
              <w:rPr>
                <w:rFonts w:ascii="Calibri" w:hAnsi="Calibri" w:cs="Calibri"/>
                <w:color w:val="000000"/>
                <w:sz w:val="18"/>
                <w:szCs w:val="18"/>
                <w:lang w:val="en-US" w:eastAsia="en-US"/>
              </w:rPr>
              <w:t>ceil(4xNRB/14)</w:t>
            </w:r>
          </w:p>
        </w:tc>
      </w:tr>
      <w:tr w:rsidR="00F87BDA" w:rsidRPr="004C03EC" w14:paraId="13D5CA4C" w14:textId="77777777" w:rsidTr="00761548">
        <w:trPr>
          <w:trHeight w:val="240"/>
          <w:jc w:val="center"/>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B8AA5B0" w14:textId="77777777" w:rsidR="00F87BDA" w:rsidRPr="004C03EC" w:rsidRDefault="00F87BDA" w:rsidP="00761548">
            <w:pPr>
              <w:overflowPunct/>
              <w:autoSpaceDE/>
              <w:autoSpaceDN/>
              <w:adjustRightInd/>
              <w:spacing w:after="0"/>
              <w:jc w:val="right"/>
              <w:textAlignment w:val="auto"/>
              <w:rPr>
                <w:rFonts w:ascii="Calibri" w:hAnsi="Calibri" w:cs="Calibri"/>
                <w:color w:val="000000"/>
                <w:sz w:val="18"/>
                <w:szCs w:val="18"/>
                <w:lang w:val="en-US" w:eastAsia="en-US"/>
              </w:rPr>
            </w:pPr>
            <w:r w:rsidRPr="004C03EC">
              <w:rPr>
                <w:rFonts w:ascii="Calibri" w:hAnsi="Calibri" w:cs="Calibri"/>
                <w:color w:val="000000"/>
                <w:sz w:val="18"/>
                <w:szCs w:val="18"/>
                <w:lang w:val="en-US" w:eastAsia="en-US"/>
              </w:rPr>
              <w:t>011</w:t>
            </w:r>
          </w:p>
        </w:tc>
        <w:tc>
          <w:tcPr>
            <w:tcW w:w="862" w:type="dxa"/>
            <w:tcBorders>
              <w:top w:val="nil"/>
              <w:left w:val="nil"/>
              <w:bottom w:val="single" w:sz="4" w:space="0" w:color="auto"/>
              <w:right w:val="single" w:sz="4" w:space="0" w:color="auto"/>
            </w:tcBorders>
            <w:shd w:val="clear" w:color="auto" w:fill="auto"/>
            <w:noWrap/>
            <w:vAlign w:val="center"/>
            <w:hideMark/>
          </w:tcPr>
          <w:p w14:paraId="110341C8" w14:textId="77777777" w:rsidR="00F87BDA" w:rsidRPr="004C03EC" w:rsidRDefault="00F87BDA" w:rsidP="00761548">
            <w:pPr>
              <w:overflowPunct/>
              <w:autoSpaceDE/>
              <w:autoSpaceDN/>
              <w:adjustRightInd/>
              <w:spacing w:after="0"/>
              <w:jc w:val="right"/>
              <w:textAlignment w:val="auto"/>
              <w:rPr>
                <w:rFonts w:ascii="Calibri" w:hAnsi="Calibri" w:cs="Calibri"/>
                <w:color w:val="000000"/>
                <w:sz w:val="18"/>
                <w:szCs w:val="18"/>
                <w:lang w:val="en-US" w:eastAsia="en-US"/>
              </w:rPr>
            </w:pPr>
            <w:r w:rsidRPr="004C03EC">
              <w:rPr>
                <w:rFonts w:ascii="Calibri" w:hAnsi="Calibri" w:cs="Calibri"/>
                <w:color w:val="000000"/>
                <w:sz w:val="18"/>
                <w:szCs w:val="18"/>
                <w:lang w:val="en-US" w:eastAsia="en-US"/>
              </w:rPr>
              <w:t>3</w:t>
            </w:r>
          </w:p>
        </w:tc>
        <w:tc>
          <w:tcPr>
            <w:tcW w:w="2320" w:type="dxa"/>
            <w:tcBorders>
              <w:top w:val="nil"/>
              <w:left w:val="nil"/>
              <w:bottom w:val="single" w:sz="4" w:space="0" w:color="auto"/>
              <w:right w:val="single" w:sz="4" w:space="0" w:color="auto"/>
            </w:tcBorders>
            <w:shd w:val="clear" w:color="auto" w:fill="auto"/>
            <w:noWrap/>
            <w:vAlign w:val="center"/>
            <w:hideMark/>
          </w:tcPr>
          <w:p w14:paraId="44FF5E69" w14:textId="77777777" w:rsidR="00F87BDA" w:rsidRPr="004C03EC" w:rsidRDefault="00F87BDA" w:rsidP="00761548">
            <w:pPr>
              <w:overflowPunct/>
              <w:autoSpaceDE/>
              <w:autoSpaceDN/>
              <w:adjustRightInd/>
              <w:spacing w:after="0"/>
              <w:jc w:val="right"/>
              <w:textAlignment w:val="auto"/>
              <w:rPr>
                <w:rFonts w:ascii="Calibri" w:hAnsi="Calibri" w:cs="Calibri"/>
                <w:color w:val="000000"/>
                <w:sz w:val="18"/>
                <w:szCs w:val="18"/>
                <w:lang w:val="en-US" w:eastAsia="en-US"/>
              </w:rPr>
            </w:pPr>
            <w:r w:rsidRPr="004C03EC">
              <w:rPr>
                <w:rFonts w:ascii="Calibri" w:hAnsi="Calibri" w:cs="Calibri"/>
                <w:color w:val="000000"/>
                <w:sz w:val="18"/>
                <w:szCs w:val="18"/>
                <w:lang w:val="en-US" w:eastAsia="en-US"/>
              </w:rPr>
              <w:t>ceil(3xNRB/14)</w:t>
            </w:r>
          </w:p>
        </w:tc>
      </w:tr>
      <w:tr w:rsidR="00F87BDA" w:rsidRPr="004C03EC" w14:paraId="5FF5DAE9" w14:textId="77777777" w:rsidTr="00761548">
        <w:trPr>
          <w:trHeight w:val="240"/>
          <w:jc w:val="center"/>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BBE8B85" w14:textId="77777777" w:rsidR="00F87BDA" w:rsidRPr="004C03EC" w:rsidRDefault="00F87BDA" w:rsidP="00761548">
            <w:pPr>
              <w:overflowPunct/>
              <w:autoSpaceDE/>
              <w:autoSpaceDN/>
              <w:adjustRightInd/>
              <w:spacing w:after="0"/>
              <w:jc w:val="right"/>
              <w:textAlignment w:val="auto"/>
              <w:rPr>
                <w:rFonts w:ascii="Calibri" w:hAnsi="Calibri" w:cs="Calibri"/>
                <w:color w:val="000000"/>
                <w:sz w:val="18"/>
                <w:szCs w:val="18"/>
                <w:lang w:val="en-US" w:eastAsia="en-US"/>
              </w:rPr>
            </w:pPr>
            <w:r w:rsidRPr="004C03EC">
              <w:rPr>
                <w:rFonts w:ascii="Calibri" w:hAnsi="Calibri" w:cs="Calibri"/>
                <w:color w:val="000000"/>
                <w:sz w:val="18"/>
                <w:szCs w:val="18"/>
                <w:lang w:val="en-US" w:eastAsia="en-US"/>
              </w:rPr>
              <w:t>010</w:t>
            </w:r>
          </w:p>
        </w:tc>
        <w:tc>
          <w:tcPr>
            <w:tcW w:w="862" w:type="dxa"/>
            <w:tcBorders>
              <w:top w:val="nil"/>
              <w:left w:val="nil"/>
              <w:bottom w:val="single" w:sz="4" w:space="0" w:color="auto"/>
              <w:right w:val="single" w:sz="4" w:space="0" w:color="auto"/>
            </w:tcBorders>
            <w:shd w:val="clear" w:color="auto" w:fill="auto"/>
            <w:noWrap/>
            <w:vAlign w:val="center"/>
            <w:hideMark/>
          </w:tcPr>
          <w:p w14:paraId="27FB32DA" w14:textId="77777777" w:rsidR="00F87BDA" w:rsidRPr="004C03EC" w:rsidRDefault="00F87BDA" w:rsidP="00761548">
            <w:pPr>
              <w:overflowPunct/>
              <w:autoSpaceDE/>
              <w:autoSpaceDN/>
              <w:adjustRightInd/>
              <w:spacing w:after="0"/>
              <w:jc w:val="right"/>
              <w:textAlignment w:val="auto"/>
              <w:rPr>
                <w:rFonts w:ascii="Calibri" w:hAnsi="Calibri" w:cs="Calibri"/>
                <w:color w:val="000000"/>
                <w:sz w:val="18"/>
                <w:szCs w:val="18"/>
                <w:lang w:val="en-US" w:eastAsia="en-US"/>
              </w:rPr>
            </w:pPr>
            <w:r w:rsidRPr="004C03EC">
              <w:rPr>
                <w:rFonts w:ascii="Calibri" w:hAnsi="Calibri" w:cs="Calibri"/>
                <w:color w:val="000000"/>
                <w:sz w:val="18"/>
                <w:szCs w:val="18"/>
                <w:lang w:val="en-US" w:eastAsia="en-US"/>
              </w:rPr>
              <w:t>2</w:t>
            </w:r>
          </w:p>
        </w:tc>
        <w:tc>
          <w:tcPr>
            <w:tcW w:w="2320" w:type="dxa"/>
            <w:tcBorders>
              <w:top w:val="nil"/>
              <w:left w:val="nil"/>
              <w:bottom w:val="single" w:sz="4" w:space="0" w:color="auto"/>
              <w:right w:val="single" w:sz="4" w:space="0" w:color="auto"/>
            </w:tcBorders>
            <w:shd w:val="clear" w:color="auto" w:fill="auto"/>
            <w:noWrap/>
            <w:vAlign w:val="center"/>
            <w:hideMark/>
          </w:tcPr>
          <w:p w14:paraId="6ADA9E40" w14:textId="77777777" w:rsidR="00F87BDA" w:rsidRPr="004C03EC" w:rsidRDefault="00F87BDA" w:rsidP="00761548">
            <w:pPr>
              <w:overflowPunct/>
              <w:autoSpaceDE/>
              <w:autoSpaceDN/>
              <w:adjustRightInd/>
              <w:spacing w:after="0"/>
              <w:jc w:val="right"/>
              <w:textAlignment w:val="auto"/>
              <w:rPr>
                <w:rFonts w:ascii="Calibri" w:hAnsi="Calibri" w:cs="Calibri"/>
                <w:color w:val="000000"/>
                <w:sz w:val="18"/>
                <w:szCs w:val="18"/>
                <w:lang w:val="en-US" w:eastAsia="en-US"/>
              </w:rPr>
            </w:pPr>
            <w:r w:rsidRPr="004C03EC">
              <w:rPr>
                <w:rFonts w:ascii="Calibri" w:hAnsi="Calibri" w:cs="Calibri"/>
                <w:color w:val="000000"/>
                <w:sz w:val="18"/>
                <w:szCs w:val="18"/>
                <w:lang w:val="en-US" w:eastAsia="en-US"/>
              </w:rPr>
              <w:t>ceil(2xNRB/14)</w:t>
            </w:r>
          </w:p>
        </w:tc>
      </w:tr>
      <w:tr w:rsidR="00F87BDA" w:rsidRPr="004C03EC" w14:paraId="509C7171" w14:textId="77777777" w:rsidTr="00761548">
        <w:trPr>
          <w:trHeight w:val="240"/>
          <w:jc w:val="center"/>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5DBF894" w14:textId="77777777" w:rsidR="00F87BDA" w:rsidRPr="004C03EC" w:rsidRDefault="00F87BDA" w:rsidP="00761548">
            <w:pPr>
              <w:overflowPunct/>
              <w:autoSpaceDE/>
              <w:autoSpaceDN/>
              <w:adjustRightInd/>
              <w:spacing w:after="0"/>
              <w:jc w:val="right"/>
              <w:textAlignment w:val="auto"/>
              <w:rPr>
                <w:rFonts w:ascii="Calibri" w:hAnsi="Calibri" w:cs="Calibri"/>
                <w:color w:val="000000"/>
                <w:sz w:val="18"/>
                <w:szCs w:val="18"/>
                <w:lang w:val="en-US" w:eastAsia="en-US"/>
              </w:rPr>
            </w:pPr>
            <w:r w:rsidRPr="004C03EC">
              <w:rPr>
                <w:rFonts w:ascii="Calibri" w:hAnsi="Calibri" w:cs="Calibri"/>
                <w:color w:val="000000"/>
                <w:sz w:val="18"/>
                <w:szCs w:val="18"/>
                <w:lang w:val="en-US" w:eastAsia="en-US"/>
              </w:rPr>
              <w:t>001</w:t>
            </w:r>
          </w:p>
        </w:tc>
        <w:tc>
          <w:tcPr>
            <w:tcW w:w="862" w:type="dxa"/>
            <w:tcBorders>
              <w:top w:val="nil"/>
              <w:left w:val="nil"/>
              <w:bottom w:val="single" w:sz="4" w:space="0" w:color="auto"/>
              <w:right w:val="single" w:sz="4" w:space="0" w:color="auto"/>
            </w:tcBorders>
            <w:shd w:val="clear" w:color="auto" w:fill="auto"/>
            <w:noWrap/>
            <w:vAlign w:val="center"/>
            <w:hideMark/>
          </w:tcPr>
          <w:p w14:paraId="12DC411A" w14:textId="77777777" w:rsidR="00F87BDA" w:rsidRPr="004C03EC" w:rsidRDefault="00F87BDA" w:rsidP="00761548">
            <w:pPr>
              <w:overflowPunct/>
              <w:autoSpaceDE/>
              <w:autoSpaceDN/>
              <w:adjustRightInd/>
              <w:spacing w:after="0"/>
              <w:jc w:val="right"/>
              <w:textAlignment w:val="auto"/>
              <w:rPr>
                <w:rFonts w:ascii="Calibri" w:hAnsi="Calibri" w:cs="Calibri"/>
                <w:color w:val="000000"/>
                <w:sz w:val="18"/>
                <w:szCs w:val="18"/>
                <w:lang w:val="en-US" w:eastAsia="en-US"/>
              </w:rPr>
            </w:pPr>
            <w:r w:rsidRPr="004C03EC">
              <w:rPr>
                <w:rFonts w:ascii="Calibri" w:hAnsi="Calibri" w:cs="Calibri"/>
                <w:color w:val="000000"/>
                <w:sz w:val="18"/>
                <w:szCs w:val="18"/>
                <w:lang w:val="en-US" w:eastAsia="en-US"/>
              </w:rPr>
              <w:t>1</w:t>
            </w:r>
          </w:p>
        </w:tc>
        <w:tc>
          <w:tcPr>
            <w:tcW w:w="2320" w:type="dxa"/>
            <w:tcBorders>
              <w:top w:val="nil"/>
              <w:left w:val="nil"/>
              <w:bottom w:val="single" w:sz="4" w:space="0" w:color="auto"/>
              <w:right w:val="single" w:sz="4" w:space="0" w:color="auto"/>
            </w:tcBorders>
            <w:shd w:val="clear" w:color="auto" w:fill="auto"/>
            <w:noWrap/>
            <w:vAlign w:val="center"/>
            <w:hideMark/>
          </w:tcPr>
          <w:p w14:paraId="26BA3553" w14:textId="77777777" w:rsidR="00F87BDA" w:rsidRPr="004C03EC" w:rsidRDefault="00F87BDA" w:rsidP="00761548">
            <w:pPr>
              <w:overflowPunct/>
              <w:autoSpaceDE/>
              <w:autoSpaceDN/>
              <w:adjustRightInd/>
              <w:spacing w:after="0"/>
              <w:jc w:val="right"/>
              <w:textAlignment w:val="auto"/>
              <w:rPr>
                <w:rFonts w:ascii="Calibri" w:hAnsi="Calibri" w:cs="Calibri"/>
                <w:color w:val="000000"/>
                <w:sz w:val="18"/>
                <w:szCs w:val="18"/>
                <w:lang w:val="en-US" w:eastAsia="en-US"/>
              </w:rPr>
            </w:pPr>
            <w:r w:rsidRPr="004C03EC">
              <w:rPr>
                <w:rFonts w:ascii="Calibri" w:hAnsi="Calibri" w:cs="Calibri"/>
                <w:color w:val="000000"/>
                <w:sz w:val="18"/>
                <w:szCs w:val="18"/>
                <w:lang w:val="en-US" w:eastAsia="en-US"/>
              </w:rPr>
              <w:t>ceil(1xNRB/14)</w:t>
            </w:r>
          </w:p>
        </w:tc>
      </w:tr>
      <w:tr w:rsidR="00F87BDA" w:rsidRPr="004C03EC" w14:paraId="468F1950" w14:textId="77777777" w:rsidTr="00761548">
        <w:trPr>
          <w:trHeight w:val="240"/>
          <w:jc w:val="center"/>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CB8D00C" w14:textId="77777777" w:rsidR="00F87BDA" w:rsidRPr="004C03EC" w:rsidRDefault="00F87BDA" w:rsidP="00761548">
            <w:pPr>
              <w:overflowPunct/>
              <w:autoSpaceDE/>
              <w:autoSpaceDN/>
              <w:adjustRightInd/>
              <w:spacing w:after="0"/>
              <w:jc w:val="right"/>
              <w:textAlignment w:val="auto"/>
              <w:rPr>
                <w:rFonts w:ascii="Calibri" w:hAnsi="Calibri" w:cs="Calibri"/>
                <w:color w:val="000000"/>
                <w:sz w:val="18"/>
                <w:szCs w:val="18"/>
                <w:lang w:val="en-US" w:eastAsia="en-US"/>
              </w:rPr>
            </w:pPr>
            <w:r w:rsidRPr="004C03EC">
              <w:rPr>
                <w:rFonts w:ascii="Calibri" w:hAnsi="Calibri" w:cs="Calibri"/>
                <w:color w:val="000000"/>
                <w:sz w:val="18"/>
                <w:szCs w:val="18"/>
                <w:lang w:val="en-US" w:eastAsia="en-US"/>
              </w:rPr>
              <w:t>000</w:t>
            </w:r>
          </w:p>
        </w:tc>
        <w:tc>
          <w:tcPr>
            <w:tcW w:w="862" w:type="dxa"/>
            <w:tcBorders>
              <w:top w:val="nil"/>
              <w:left w:val="nil"/>
              <w:bottom w:val="single" w:sz="4" w:space="0" w:color="auto"/>
              <w:right w:val="single" w:sz="4" w:space="0" w:color="auto"/>
            </w:tcBorders>
            <w:shd w:val="clear" w:color="auto" w:fill="auto"/>
            <w:noWrap/>
            <w:vAlign w:val="center"/>
            <w:hideMark/>
          </w:tcPr>
          <w:p w14:paraId="79122796" w14:textId="77777777" w:rsidR="00F87BDA" w:rsidRPr="004C03EC" w:rsidRDefault="00F87BDA" w:rsidP="00761548">
            <w:pPr>
              <w:overflowPunct/>
              <w:autoSpaceDE/>
              <w:autoSpaceDN/>
              <w:adjustRightInd/>
              <w:spacing w:after="0"/>
              <w:jc w:val="right"/>
              <w:textAlignment w:val="auto"/>
              <w:rPr>
                <w:rFonts w:ascii="Calibri" w:hAnsi="Calibri" w:cs="Calibri"/>
                <w:color w:val="000000"/>
                <w:sz w:val="18"/>
                <w:szCs w:val="18"/>
                <w:lang w:val="en-US" w:eastAsia="en-US"/>
              </w:rPr>
            </w:pPr>
            <w:r w:rsidRPr="004C03EC">
              <w:rPr>
                <w:rFonts w:ascii="Calibri" w:hAnsi="Calibri" w:cs="Calibri"/>
                <w:color w:val="000000"/>
                <w:sz w:val="18"/>
                <w:szCs w:val="18"/>
                <w:lang w:val="en-US" w:eastAsia="en-US"/>
              </w:rPr>
              <w:t>0</w:t>
            </w:r>
          </w:p>
        </w:tc>
        <w:tc>
          <w:tcPr>
            <w:tcW w:w="2320" w:type="dxa"/>
            <w:tcBorders>
              <w:top w:val="nil"/>
              <w:left w:val="nil"/>
              <w:bottom w:val="single" w:sz="4" w:space="0" w:color="auto"/>
              <w:right w:val="single" w:sz="4" w:space="0" w:color="auto"/>
            </w:tcBorders>
            <w:shd w:val="clear" w:color="auto" w:fill="auto"/>
            <w:noWrap/>
            <w:vAlign w:val="center"/>
            <w:hideMark/>
          </w:tcPr>
          <w:p w14:paraId="48858D6B" w14:textId="77777777" w:rsidR="00F87BDA" w:rsidRPr="004C03EC" w:rsidRDefault="00F87BDA" w:rsidP="00761548">
            <w:pPr>
              <w:overflowPunct/>
              <w:autoSpaceDE/>
              <w:autoSpaceDN/>
              <w:adjustRightInd/>
              <w:spacing w:after="0"/>
              <w:jc w:val="right"/>
              <w:textAlignment w:val="auto"/>
              <w:rPr>
                <w:rFonts w:ascii="Calibri" w:hAnsi="Calibri" w:cs="Calibri"/>
                <w:color w:val="000000"/>
                <w:sz w:val="18"/>
                <w:szCs w:val="18"/>
                <w:lang w:val="en-US" w:eastAsia="en-US"/>
              </w:rPr>
            </w:pPr>
            <w:r w:rsidRPr="004C03EC">
              <w:rPr>
                <w:rFonts w:ascii="Calibri" w:hAnsi="Calibri" w:cs="Calibri"/>
                <w:color w:val="000000"/>
                <w:sz w:val="18"/>
                <w:szCs w:val="18"/>
                <w:lang w:val="en-US" w:eastAsia="en-US"/>
              </w:rPr>
              <w:t>ceil(0xNRB/</w:t>
            </w:r>
            <w:proofErr w:type="gramStart"/>
            <w:r w:rsidRPr="004C03EC">
              <w:rPr>
                <w:rFonts w:ascii="Calibri" w:hAnsi="Calibri" w:cs="Calibri"/>
                <w:color w:val="000000"/>
                <w:sz w:val="18"/>
                <w:szCs w:val="18"/>
                <w:lang w:val="en-US" w:eastAsia="en-US"/>
              </w:rPr>
              <w:t>14)=</w:t>
            </w:r>
            <w:proofErr w:type="gramEnd"/>
            <w:r w:rsidRPr="004C03EC">
              <w:rPr>
                <w:rFonts w:ascii="Calibri" w:hAnsi="Calibri" w:cs="Calibri"/>
                <w:color w:val="000000"/>
                <w:sz w:val="18"/>
                <w:szCs w:val="18"/>
                <w:lang w:val="en-US" w:eastAsia="en-US"/>
              </w:rPr>
              <w:t>0</w:t>
            </w:r>
          </w:p>
        </w:tc>
      </w:tr>
    </w:tbl>
    <w:p w14:paraId="7ACAEAED" w14:textId="77777777" w:rsidR="00F87BDA" w:rsidRPr="004C03EC" w:rsidRDefault="00F87BDA" w:rsidP="00F87BDA">
      <w:pPr>
        <w:spacing w:after="0"/>
        <w:rPr>
          <w:rFonts w:eastAsiaTheme="minorEastAsia"/>
          <w:lang w:val="en-US"/>
        </w:rPr>
      </w:pPr>
    </w:p>
    <w:p w14:paraId="467937E4" w14:textId="4B0A145F" w:rsidR="00F87BDA" w:rsidRPr="00E26B89" w:rsidRDefault="00F87BDA" w:rsidP="004955CA">
      <w:pPr>
        <w:widowControl w:val="0"/>
        <w:spacing w:after="0"/>
        <w:rPr>
          <w:rFonts w:eastAsiaTheme="minorEastAsia"/>
          <w:bCs/>
          <w:lang w:eastAsia="zh-CN"/>
        </w:rPr>
      </w:pPr>
      <w:r w:rsidRPr="004C03EC">
        <w:rPr>
          <w:rFonts w:eastAsiaTheme="minorEastAsia"/>
          <w:bCs/>
          <w:lang w:eastAsia="zh-CN"/>
        </w:rPr>
        <w:t>The above table can use the 3bit binary code directly to calculate ceil(code*NRB/14)</w:t>
      </w:r>
      <w:r>
        <w:rPr>
          <w:rFonts w:eastAsiaTheme="minorEastAsia"/>
          <w:bCs/>
          <w:lang w:eastAsia="zh-CN"/>
        </w:rPr>
        <w:t xml:space="preserve"> and the NRB/2 extension or no extension correspond to all 1 or all 0 respectively.</w:t>
      </w:r>
    </w:p>
    <w:p w14:paraId="630DFF96" w14:textId="2B131634" w:rsidR="009E44F3" w:rsidRPr="00F87BDA" w:rsidRDefault="009E44F3" w:rsidP="004955CA">
      <w:pPr>
        <w:widowControl w:val="0"/>
        <w:spacing w:after="0"/>
        <w:rPr>
          <w:rFonts w:eastAsiaTheme="minorEastAsia"/>
          <w:b/>
          <w:lang w:val="en-US" w:eastAsia="zh-CN"/>
        </w:rPr>
      </w:pPr>
    </w:p>
    <w:p w14:paraId="7B87C046" w14:textId="5A102483" w:rsidR="009E44F3" w:rsidRPr="00D123BD" w:rsidRDefault="009E44F3" w:rsidP="009E44F3">
      <w:pPr>
        <w:widowControl w:val="0"/>
        <w:spacing w:after="0"/>
        <w:rPr>
          <w:rFonts w:eastAsiaTheme="minorEastAsia"/>
          <w:b/>
          <w:lang w:eastAsia="zh-CN"/>
        </w:rPr>
      </w:pPr>
      <w:r w:rsidRPr="00D123BD">
        <w:rPr>
          <w:rFonts w:eastAsiaTheme="minorEastAsia"/>
          <w:b/>
          <w:lang w:eastAsia="zh-CN"/>
        </w:rPr>
        <w:t>Proposal on RB extension</w:t>
      </w:r>
      <w:r w:rsidR="00E26B89">
        <w:rPr>
          <w:rFonts w:eastAsiaTheme="minorEastAsia"/>
          <w:b/>
          <w:lang w:eastAsia="zh-CN"/>
        </w:rPr>
        <w:t xml:space="preserve"> signalling</w:t>
      </w:r>
      <w:r w:rsidRPr="00D123BD">
        <w:rPr>
          <w:rFonts w:eastAsiaTheme="minorEastAsia"/>
          <w:b/>
          <w:lang w:eastAsia="zh-CN"/>
        </w:rPr>
        <w:t>:</w:t>
      </w:r>
    </w:p>
    <w:p w14:paraId="21E82E93" w14:textId="4E802F9C" w:rsidR="009E44F3" w:rsidRPr="00D123BD" w:rsidRDefault="009E44F3" w:rsidP="009E44F3">
      <w:pPr>
        <w:pStyle w:val="ListParagraph"/>
        <w:widowControl w:val="0"/>
        <w:numPr>
          <w:ilvl w:val="0"/>
          <w:numId w:val="31"/>
        </w:numPr>
        <w:spacing w:after="0"/>
        <w:ind w:firstLineChars="0"/>
        <w:rPr>
          <w:rFonts w:eastAsiaTheme="minorEastAsia"/>
          <w:b/>
          <w:lang w:eastAsia="zh-CN"/>
        </w:rPr>
      </w:pPr>
      <w:r w:rsidRPr="00D123BD">
        <w:rPr>
          <w:rFonts w:eastAsiaTheme="minorEastAsia"/>
          <w:b/>
          <w:lang w:eastAsia="zh-CN"/>
        </w:rPr>
        <w:t>Bandwidth extension</w:t>
      </w:r>
      <w:r>
        <w:rPr>
          <w:rFonts w:eastAsiaTheme="minorEastAsia"/>
          <w:b/>
          <w:lang w:eastAsia="zh-CN"/>
        </w:rPr>
        <w:t>s</w:t>
      </w:r>
      <w:r w:rsidRPr="00D123BD">
        <w:rPr>
          <w:rFonts w:eastAsiaTheme="minorEastAsia"/>
          <w:b/>
          <w:lang w:eastAsia="zh-CN"/>
        </w:rPr>
        <w:t xml:space="preserve"> </w:t>
      </w:r>
      <w:r>
        <w:rPr>
          <w:rFonts w:eastAsiaTheme="minorEastAsia"/>
          <w:b/>
          <w:lang w:eastAsia="zh-CN"/>
        </w:rPr>
        <w:t>are</w:t>
      </w:r>
      <w:r w:rsidRPr="00D123BD">
        <w:rPr>
          <w:rFonts w:eastAsiaTheme="minorEastAsia"/>
          <w:b/>
          <w:lang w:eastAsia="zh-CN"/>
        </w:rPr>
        <w:t xml:space="preserve"> signalled by the BS to the UE with the lower </w:t>
      </w:r>
      <w:r>
        <w:rPr>
          <w:rFonts w:eastAsiaTheme="minorEastAsia"/>
          <w:b/>
          <w:lang w:eastAsia="zh-CN"/>
        </w:rPr>
        <w:t xml:space="preserve">side </w:t>
      </w:r>
      <w:r w:rsidRPr="00D123BD">
        <w:rPr>
          <w:rFonts w:eastAsiaTheme="minorEastAsia"/>
          <w:b/>
          <w:lang w:eastAsia="zh-CN"/>
        </w:rPr>
        <w:t>and higher</w:t>
      </w:r>
      <w:r>
        <w:rPr>
          <w:rFonts w:eastAsiaTheme="minorEastAsia"/>
          <w:b/>
          <w:lang w:eastAsia="zh-CN"/>
        </w:rPr>
        <w:t xml:space="preserve"> side</w:t>
      </w:r>
      <w:r w:rsidRPr="00D123BD">
        <w:rPr>
          <w:rFonts w:eastAsiaTheme="minorEastAsia"/>
          <w:b/>
          <w:lang w:eastAsia="zh-CN"/>
        </w:rPr>
        <w:t xml:space="preserve"> RB extensions</w:t>
      </w:r>
      <w:r>
        <w:rPr>
          <w:rFonts w:eastAsiaTheme="minorEastAsia"/>
          <w:b/>
          <w:lang w:eastAsia="zh-CN"/>
        </w:rPr>
        <w:t xml:space="preserve"> expressed as</w:t>
      </w:r>
      <w:r w:rsidRPr="00D123BD">
        <w:rPr>
          <w:rFonts w:eastAsiaTheme="minorEastAsia"/>
          <w:b/>
          <w:lang w:eastAsia="zh-CN"/>
        </w:rPr>
        <w:t xml:space="preserve">: </w:t>
      </w:r>
      <w:proofErr w:type="spellStart"/>
      <w:r w:rsidRPr="00C104F0">
        <w:rPr>
          <w:rFonts w:eastAsiaTheme="minorEastAsia"/>
          <w:b/>
          <w:i/>
          <w:iCs/>
          <w:lang w:eastAsia="zh-CN"/>
        </w:rPr>
        <w:t>RBextL</w:t>
      </w:r>
      <w:proofErr w:type="spellEnd"/>
      <w:r w:rsidRPr="00D123BD">
        <w:rPr>
          <w:rFonts w:eastAsiaTheme="minorEastAsia"/>
          <w:b/>
          <w:lang w:eastAsia="zh-CN"/>
        </w:rPr>
        <w:t xml:space="preserve"> and </w:t>
      </w:r>
      <w:proofErr w:type="spellStart"/>
      <w:r w:rsidRPr="00C104F0">
        <w:rPr>
          <w:rFonts w:eastAsiaTheme="minorEastAsia"/>
          <w:b/>
          <w:i/>
          <w:iCs/>
          <w:lang w:eastAsia="zh-CN"/>
        </w:rPr>
        <w:t>RBextH</w:t>
      </w:r>
      <w:proofErr w:type="spellEnd"/>
      <w:r w:rsidR="004C03EC">
        <w:rPr>
          <w:rFonts w:eastAsiaTheme="minorEastAsia"/>
          <w:b/>
          <w:i/>
          <w:iCs/>
          <w:lang w:eastAsia="zh-CN"/>
        </w:rPr>
        <w:t xml:space="preserve"> </w:t>
      </w:r>
      <w:r w:rsidR="004C03EC" w:rsidRPr="004C03EC">
        <w:rPr>
          <w:rFonts w:eastAsiaTheme="minorEastAsia"/>
          <w:b/>
          <w:lang w:eastAsia="zh-CN"/>
        </w:rPr>
        <w:t>in fractions of the NRB of the initial UE CBW</w:t>
      </w:r>
      <w:r w:rsidR="004C03EC">
        <w:rPr>
          <w:rFonts w:eastAsiaTheme="minorEastAsia"/>
          <w:b/>
          <w:lang w:eastAsia="zh-CN"/>
        </w:rPr>
        <w:t xml:space="preserve"> </w:t>
      </w:r>
      <w:r w:rsidR="004C03EC" w:rsidRPr="004C03EC">
        <w:rPr>
          <w:rFonts w:eastAsiaTheme="minorEastAsia"/>
          <w:b/>
          <w:i/>
          <w:iCs/>
          <w:lang w:eastAsia="zh-CN"/>
        </w:rPr>
        <w:t>NRB_UE</w:t>
      </w:r>
      <w:r w:rsidR="00E7084E">
        <w:rPr>
          <w:rFonts w:eastAsiaTheme="minorEastAsia"/>
          <w:b/>
          <w:lang w:eastAsia="zh-CN"/>
        </w:rPr>
        <w:t xml:space="preserve"> using 3bits per side.</w:t>
      </w:r>
    </w:p>
    <w:p w14:paraId="634F7BAA" w14:textId="466534F7" w:rsidR="009E44F3" w:rsidRDefault="009E44F3" w:rsidP="009E44F3">
      <w:pPr>
        <w:pStyle w:val="ListParagraph"/>
        <w:widowControl w:val="0"/>
        <w:numPr>
          <w:ilvl w:val="0"/>
          <w:numId w:val="31"/>
        </w:numPr>
        <w:spacing w:after="0"/>
        <w:ind w:firstLineChars="0"/>
        <w:rPr>
          <w:rFonts w:eastAsiaTheme="minorEastAsia"/>
          <w:b/>
          <w:lang w:eastAsia="zh-CN"/>
        </w:rPr>
      </w:pPr>
      <w:r w:rsidRPr="00D123BD">
        <w:rPr>
          <w:rFonts w:eastAsiaTheme="minorEastAsia"/>
          <w:b/>
          <w:lang w:eastAsia="zh-CN"/>
        </w:rPr>
        <w:t xml:space="preserve">Maximum </w:t>
      </w:r>
      <w:proofErr w:type="spellStart"/>
      <w:r w:rsidRPr="00C104F0">
        <w:rPr>
          <w:rFonts w:eastAsiaTheme="minorEastAsia"/>
          <w:b/>
          <w:i/>
          <w:iCs/>
          <w:lang w:eastAsia="zh-CN"/>
        </w:rPr>
        <w:t>RBextL</w:t>
      </w:r>
      <w:proofErr w:type="spellEnd"/>
      <w:r w:rsidRPr="00D123BD">
        <w:rPr>
          <w:rFonts w:eastAsiaTheme="minorEastAsia"/>
          <w:b/>
          <w:lang w:eastAsia="zh-CN"/>
        </w:rPr>
        <w:t xml:space="preserve"> and </w:t>
      </w:r>
      <w:proofErr w:type="spellStart"/>
      <w:r w:rsidRPr="00C104F0">
        <w:rPr>
          <w:rFonts w:eastAsiaTheme="minorEastAsia"/>
          <w:b/>
          <w:i/>
          <w:iCs/>
          <w:lang w:eastAsia="zh-CN"/>
        </w:rPr>
        <w:t>RBextH</w:t>
      </w:r>
      <w:proofErr w:type="spellEnd"/>
      <w:r w:rsidRPr="00C104F0">
        <w:rPr>
          <w:rFonts w:eastAsiaTheme="minorEastAsia"/>
          <w:b/>
          <w:i/>
          <w:iCs/>
          <w:lang w:eastAsia="zh-CN"/>
        </w:rPr>
        <w:t xml:space="preserve"> </w:t>
      </w:r>
      <w:r w:rsidRPr="00D123BD">
        <w:rPr>
          <w:rFonts w:eastAsiaTheme="minorEastAsia"/>
          <w:b/>
          <w:lang w:eastAsia="zh-CN"/>
        </w:rPr>
        <w:t xml:space="preserve">is </w:t>
      </w:r>
      <w:r w:rsidRPr="00C104F0">
        <w:rPr>
          <w:rFonts w:eastAsiaTheme="minorEastAsia"/>
          <w:b/>
          <w:i/>
          <w:iCs/>
          <w:lang w:eastAsia="zh-CN"/>
        </w:rPr>
        <w:t>NRB_UE</w:t>
      </w:r>
      <w:r w:rsidRPr="00D123BD">
        <w:rPr>
          <w:rFonts w:eastAsiaTheme="minorEastAsia"/>
          <w:b/>
          <w:lang w:eastAsia="zh-CN"/>
        </w:rPr>
        <w:t>/2</w:t>
      </w:r>
      <w:r>
        <w:rPr>
          <w:rFonts w:eastAsiaTheme="minorEastAsia"/>
          <w:b/>
          <w:lang w:eastAsia="zh-CN"/>
        </w:rPr>
        <w:t>,</w:t>
      </w:r>
      <w:r w:rsidRPr="00D123BD">
        <w:rPr>
          <w:rFonts w:eastAsiaTheme="minorEastAsia"/>
          <w:b/>
          <w:lang w:eastAsia="zh-CN"/>
        </w:rPr>
        <w:t xml:space="preserve"> and thus for the BS</w:t>
      </w:r>
      <w:r>
        <w:rPr>
          <w:rFonts w:eastAsiaTheme="minorEastAsia"/>
          <w:b/>
          <w:lang w:eastAsia="zh-CN"/>
        </w:rPr>
        <w:t>,</w:t>
      </w:r>
      <w:r w:rsidRPr="00D123BD">
        <w:rPr>
          <w:rFonts w:eastAsiaTheme="minorEastAsia"/>
          <w:b/>
          <w:lang w:eastAsia="zh-CN"/>
        </w:rPr>
        <w:t xml:space="preserve"> </w:t>
      </w:r>
      <w:r>
        <w:rPr>
          <w:rFonts w:eastAsiaTheme="minorEastAsia"/>
          <w:b/>
          <w:lang w:eastAsia="zh-CN"/>
        </w:rPr>
        <w:t>this</w:t>
      </w:r>
      <w:r w:rsidRPr="00D123BD">
        <w:rPr>
          <w:rFonts w:eastAsiaTheme="minorEastAsia"/>
          <w:b/>
          <w:lang w:eastAsia="zh-CN"/>
        </w:rPr>
        <w:t xml:space="preserve"> is </w:t>
      </w:r>
      <w:r w:rsidRPr="00C104F0">
        <w:rPr>
          <w:rFonts w:eastAsiaTheme="minorEastAsia"/>
          <w:b/>
          <w:i/>
          <w:iCs/>
          <w:lang w:eastAsia="zh-CN"/>
        </w:rPr>
        <w:t>NRB</w:t>
      </w:r>
      <w:r w:rsidRPr="00D123BD">
        <w:rPr>
          <w:rFonts w:eastAsiaTheme="minorEastAsia"/>
          <w:b/>
          <w:lang w:eastAsia="zh-CN"/>
        </w:rPr>
        <w:t>/2 of the largest supported UE CBW</w:t>
      </w:r>
      <w:r w:rsidR="004C03EC">
        <w:rPr>
          <w:rFonts w:eastAsiaTheme="minorEastAsia"/>
          <w:b/>
          <w:lang w:eastAsia="zh-CN"/>
        </w:rPr>
        <w:t xml:space="preserve"> in the band</w:t>
      </w:r>
      <w:r w:rsidRPr="00D123BD">
        <w:rPr>
          <w:rFonts w:eastAsiaTheme="minorEastAsia"/>
          <w:b/>
          <w:lang w:eastAsia="zh-CN"/>
        </w:rPr>
        <w:t>.</w:t>
      </w:r>
    </w:p>
    <w:p w14:paraId="15FA4DF5" w14:textId="72446665" w:rsidR="00C50F58" w:rsidRPr="00C50F58" w:rsidRDefault="00C50F58" w:rsidP="00C50F58">
      <w:pPr>
        <w:pStyle w:val="ListParagraph"/>
        <w:widowControl w:val="0"/>
        <w:numPr>
          <w:ilvl w:val="0"/>
          <w:numId w:val="31"/>
        </w:numPr>
        <w:spacing w:after="0"/>
        <w:ind w:firstLineChars="0"/>
        <w:rPr>
          <w:rFonts w:eastAsiaTheme="minorEastAsia"/>
          <w:b/>
          <w:lang w:eastAsia="zh-CN"/>
        </w:rPr>
      </w:pPr>
      <w:r>
        <w:rPr>
          <w:rFonts w:eastAsiaTheme="minorEastAsia"/>
          <w:b/>
          <w:lang w:eastAsia="zh-CN"/>
        </w:rPr>
        <w:lastRenderedPageBreak/>
        <w:t xml:space="preserve">The </w:t>
      </w:r>
      <w:r w:rsidR="00E7084E">
        <w:rPr>
          <w:rFonts w:eastAsiaTheme="minorEastAsia"/>
          <w:b/>
          <w:lang w:eastAsia="zh-CN"/>
        </w:rPr>
        <w:t>height</w:t>
      </w:r>
      <w:r>
        <w:rPr>
          <w:rFonts w:eastAsiaTheme="minorEastAsia"/>
          <w:b/>
          <w:lang w:eastAsia="zh-CN"/>
        </w:rPr>
        <w:t xml:space="preserve"> possible extensions per side are of </w:t>
      </w:r>
      <w:r w:rsidRPr="00C50F58">
        <w:rPr>
          <w:rFonts w:eastAsiaTheme="minorEastAsia"/>
          <w:b/>
          <w:i/>
          <w:iCs/>
          <w:lang w:eastAsia="zh-CN"/>
        </w:rPr>
        <w:t>ceil</w:t>
      </w:r>
      <w:r>
        <w:rPr>
          <w:rFonts w:eastAsiaTheme="minorEastAsia"/>
          <w:b/>
          <w:lang w:eastAsia="zh-CN"/>
        </w:rPr>
        <w:t>(</w:t>
      </w:r>
      <w:r w:rsidRPr="00C50F58">
        <w:rPr>
          <w:rFonts w:eastAsiaTheme="minorEastAsia"/>
          <w:b/>
          <w:i/>
          <w:iCs/>
          <w:lang w:eastAsia="zh-CN"/>
        </w:rPr>
        <w:t>K*NRB_UE/14</w:t>
      </w:r>
      <w:r>
        <w:rPr>
          <w:rFonts w:eastAsiaTheme="minorEastAsia"/>
          <w:b/>
          <w:i/>
          <w:iCs/>
          <w:lang w:eastAsia="zh-CN"/>
        </w:rPr>
        <w:t>)</w:t>
      </w:r>
      <w:r>
        <w:rPr>
          <w:rFonts w:eastAsiaTheme="minorEastAsia"/>
          <w:b/>
          <w:lang w:eastAsia="zh-CN"/>
        </w:rPr>
        <w:t xml:space="preserve"> with K=0 to 7 signalled with 3bits per </w:t>
      </w:r>
      <w:proofErr w:type="spellStart"/>
      <w:r w:rsidRPr="00C104F0">
        <w:rPr>
          <w:rFonts w:eastAsiaTheme="minorEastAsia"/>
          <w:b/>
          <w:i/>
          <w:iCs/>
          <w:lang w:eastAsia="zh-CN"/>
        </w:rPr>
        <w:t>RBextL</w:t>
      </w:r>
      <w:proofErr w:type="spellEnd"/>
      <w:r w:rsidRPr="00D123BD">
        <w:rPr>
          <w:rFonts w:eastAsiaTheme="minorEastAsia"/>
          <w:b/>
          <w:lang w:eastAsia="zh-CN"/>
        </w:rPr>
        <w:t xml:space="preserve"> and </w:t>
      </w:r>
      <w:proofErr w:type="spellStart"/>
      <w:r w:rsidRPr="00C104F0">
        <w:rPr>
          <w:rFonts w:eastAsiaTheme="minorEastAsia"/>
          <w:b/>
          <w:i/>
          <w:iCs/>
          <w:lang w:eastAsia="zh-CN"/>
        </w:rPr>
        <w:t>RBext</w:t>
      </w:r>
      <w:r>
        <w:rPr>
          <w:rFonts w:eastAsiaTheme="minorEastAsia"/>
          <w:b/>
          <w:i/>
          <w:iCs/>
          <w:lang w:eastAsia="zh-CN"/>
        </w:rPr>
        <w:t>H</w:t>
      </w:r>
      <w:proofErr w:type="spellEnd"/>
    </w:p>
    <w:p w14:paraId="6624F72C" w14:textId="602E47FF" w:rsidR="00C50F58" w:rsidRDefault="00C50F58" w:rsidP="00C50F58">
      <w:pPr>
        <w:pStyle w:val="ListParagraph"/>
        <w:widowControl w:val="0"/>
        <w:numPr>
          <w:ilvl w:val="1"/>
          <w:numId w:val="31"/>
        </w:numPr>
        <w:spacing w:after="0"/>
        <w:ind w:firstLineChars="0"/>
        <w:rPr>
          <w:rFonts w:eastAsiaTheme="minorEastAsia"/>
          <w:b/>
          <w:lang w:eastAsia="zh-CN"/>
        </w:rPr>
      </w:pPr>
      <w:r>
        <w:rPr>
          <w:rFonts w:eastAsiaTheme="minorEastAsia"/>
          <w:b/>
          <w:lang w:eastAsia="zh-CN"/>
        </w:rPr>
        <w:t xml:space="preserve">No extension is signalled with </w:t>
      </w:r>
      <w:proofErr w:type="gramStart"/>
      <w:r>
        <w:rPr>
          <w:rFonts w:eastAsiaTheme="minorEastAsia"/>
          <w:b/>
          <w:lang w:eastAsia="zh-CN"/>
        </w:rPr>
        <w:t>000</w:t>
      </w:r>
      <w:proofErr w:type="gramEnd"/>
    </w:p>
    <w:p w14:paraId="4D7063E6" w14:textId="1E53EA9F" w:rsidR="00C50F58" w:rsidRPr="00C50F58" w:rsidRDefault="00C50F58" w:rsidP="00C50F58">
      <w:pPr>
        <w:pStyle w:val="ListParagraph"/>
        <w:widowControl w:val="0"/>
        <w:numPr>
          <w:ilvl w:val="1"/>
          <w:numId w:val="31"/>
        </w:numPr>
        <w:spacing w:after="0"/>
        <w:ind w:firstLineChars="0"/>
        <w:rPr>
          <w:rFonts w:eastAsiaTheme="minorEastAsia"/>
          <w:b/>
          <w:lang w:eastAsia="zh-CN"/>
        </w:rPr>
      </w:pPr>
      <w:proofErr w:type="gramStart"/>
      <w:r>
        <w:rPr>
          <w:rFonts w:eastAsiaTheme="minorEastAsia"/>
          <w:b/>
          <w:lang w:eastAsia="zh-CN"/>
        </w:rPr>
        <w:t>Ceil(</w:t>
      </w:r>
      <w:proofErr w:type="gramEnd"/>
      <w:r>
        <w:rPr>
          <w:rFonts w:eastAsiaTheme="minorEastAsia"/>
          <w:b/>
          <w:lang w:eastAsia="zh-CN"/>
        </w:rPr>
        <w:t>NRB/2) extensions is signalled with 111</w:t>
      </w:r>
    </w:p>
    <w:p w14:paraId="7B4826C9" w14:textId="45192EA5" w:rsidR="009E44F3" w:rsidRPr="00D123BD" w:rsidRDefault="009E44F3" w:rsidP="009E44F3">
      <w:pPr>
        <w:pStyle w:val="ListParagraph"/>
        <w:widowControl w:val="0"/>
        <w:numPr>
          <w:ilvl w:val="0"/>
          <w:numId w:val="31"/>
        </w:numPr>
        <w:spacing w:after="0"/>
        <w:ind w:firstLineChars="0"/>
        <w:rPr>
          <w:rFonts w:eastAsiaTheme="minorEastAsia"/>
          <w:b/>
          <w:lang w:eastAsia="zh-CN"/>
        </w:rPr>
      </w:pPr>
      <w:r w:rsidRPr="00D123BD">
        <w:rPr>
          <w:rFonts w:eastAsiaTheme="minorEastAsia"/>
          <w:b/>
          <w:lang w:eastAsia="zh-CN"/>
        </w:rPr>
        <w:t>Inner and outer allocation can be redefined by the UE using the existing inner/outer allocation equations where:</w:t>
      </w:r>
    </w:p>
    <w:p w14:paraId="1A04DACB" w14:textId="00F15C0E" w:rsidR="009E44F3" w:rsidRPr="00D123BD" w:rsidRDefault="009E44F3" w:rsidP="009E44F3">
      <w:pPr>
        <w:pStyle w:val="ListParagraph"/>
        <w:widowControl w:val="0"/>
        <w:numPr>
          <w:ilvl w:val="1"/>
          <w:numId w:val="31"/>
        </w:numPr>
        <w:spacing w:after="0"/>
        <w:ind w:firstLineChars="0"/>
        <w:rPr>
          <w:rFonts w:eastAsiaTheme="minorEastAsia"/>
          <w:b/>
          <w:lang w:eastAsia="zh-CN"/>
        </w:rPr>
      </w:pPr>
      <w:r w:rsidRPr="00C104F0">
        <w:rPr>
          <w:rFonts w:eastAsiaTheme="minorEastAsia"/>
          <w:b/>
          <w:i/>
          <w:iCs/>
          <w:lang w:eastAsia="zh-CN"/>
        </w:rPr>
        <w:t>NRB</w:t>
      </w:r>
      <w:r w:rsidR="004C03EC">
        <w:rPr>
          <w:rFonts w:eastAsiaTheme="minorEastAsia"/>
          <w:b/>
          <w:i/>
          <w:iCs/>
          <w:lang w:eastAsia="zh-CN"/>
        </w:rPr>
        <w:t xml:space="preserve"> </w:t>
      </w:r>
      <w:r w:rsidR="004C03EC" w:rsidRPr="00C50F58">
        <w:rPr>
          <w:rFonts w:eastAsiaTheme="minorEastAsia"/>
          <w:b/>
          <w:lang w:eastAsia="zh-CN"/>
        </w:rPr>
        <w:t xml:space="preserve">in the inner equations of TS 38.101-1 clause </w:t>
      </w:r>
      <w:r w:rsidR="00C50F58" w:rsidRPr="00C50F58">
        <w:rPr>
          <w:rFonts w:eastAsiaTheme="minorEastAsia"/>
          <w:b/>
          <w:lang w:eastAsia="zh-CN"/>
        </w:rPr>
        <w:t>.2.2</w:t>
      </w:r>
      <w:r w:rsidR="004C03EC">
        <w:rPr>
          <w:rFonts w:eastAsiaTheme="minorEastAsia"/>
          <w:b/>
          <w:i/>
          <w:iCs/>
          <w:lang w:eastAsia="zh-CN"/>
        </w:rPr>
        <w:t xml:space="preserve"> </w:t>
      </w:r>
      <w:r w:rsidRPr="00D123BD">
        <w:rPr>
          <w:rFonts w:eastAsiaTheme="minorEastAsia"/>
          <w:b/>
          <w:lang w:eastAsia="zh-CN"/>
        </w:rPr>
        <w:t xml:space="preserve">is replaced by </w:t>
      </w:r>
      <w:proofErr w:type="spellStart"/>
      <w:r w:rsidRPr="00C104F0">
        <w:rPr>
          <w:rFonts w:eastAsiaTheme="minorEastAsia"/>
          <w:b/>
          <w:i/>
          <w:iCs/>
          <w:lang w:eastAsia="zh-CN"/>
        </w:rPr>
        <w:t>NRB</w:t>
      </w:r>
      <w:r w:rsidR="004C03EC">
        <w:rPr>
          <w:rFonts w:eastAsiaTheme="minorEastAsia"/>
          <w:b/>
          <w:i/>
          <w:iCs/>
          <w:lang w:eastAsia="zh-CN"/>
        </w:rPr>
        <w:t>_UE</w:t>
      </w:r>
      <w:r w:rsidRPr="00C104F0">
        <w:rPr>
          <w:rFonts w:eastAsiaTheme="minorEastAsia"/>
          <w:b/>
          <w:i/>
          <w:iCs/>
          <w:lang w:eastAsia="zh-CN"/>
        </w:rPr>
        <w:t>+RBextL+</w:t>
      </w:r>
      <w:proofErr w:type="gramStart"/>
      <w:r w:rsidRPr="00C104F0">
        <w:rPr>
          <w:rFonts w:eastAsiaTheme="minorEastAsia"/>
          <w:b/>
          <w:i/>
          <w:iCs/>
          <w:lang w:eastAsia="zh-CN"/>
        </w:rPr>
        <w:t>RBextH</w:t>
      </w:r>
      <w:proofErr w:type="spellEnd"/>
      <w:proofErr w:type="gramEnd"/>
    </w:p>
    <w:p w14:paraId="474A5545" w14:textId="71F21BE1" w:rsidR="009E44F3" w:rsidRPr="00D123BD" w:rsidRDefault="009E44F3" w:rsidP="009E44F3">
      <w:pPr>
        <w:pStyle w:val="ListParagraph"/>
        <w:widowControl w:val="0"/>
        <w:numPr>
          <w:ilvl w:val="1"/>
          <w:numId w:val="31"/>
        </w:numPr>
        <w:spacing w:after="0"/>
        <w:ind w:firstLineChars="0"/>
        <w:rPr>
          <w:rFonts w:eastAsiaTheme="minorEastAsia"/>
          <w:b/>
          <w:lang w:eastAsia="zh-CN"/>
        </w:rPr>
      </w:pPr>
      <w:proofErr w:type="spellStart"/>
      <w:r w:rsidRPr="00C104F0">
        <w:rPr>
          <w:rFonts w:eastAsiaTheme="minorEastAsia"/>
          <w:b/>
          <w:i/>
          <w:iCs/>
          <w:lang w:eastAsia="zh-CN"/>
        </w:rPr>
        <w:t>RBstart</w:t>
      </w:r>
      <w:proofErr w:type="spellEnd"/>
      <w:r w:rsidRPr="00D123BD">
        <w:rPr>
          <w:rFonts w:eastAsiaTheme="minorEastAsia"/>
          <w:b/>
          <w:lang w:eastAsia="zh-CN"/>
        </w:rPr>
        <w:t xml:space="preserve"> </w:t>
      </w:r>
      <w:r w:rsidR="00C50F58" w:rsidRPr="00C50F58">
        <w:rPr>
          <w:rFonts w:eastAsiaTheme="minorEastAsia"/>
          <w:b/>
          <w:lang w:eastAsia="zh-CN"/>
        </w:rPr>
        <w:t>in the inner equations of TS 38.101-1 clause .2.2</w:t>
      </w:r>
      <w:r w:rsidR="00C50F58">
        <w:rPr>
          <w:rFonts w:eastAsiaTheme="minorEastAsia"/>
          <w:b/>
          <w:i/>
          <w:iCs/>
          <w:lang w:eastAsia="zh-CN"/>
        </w:rPr>
        <w:t xml:space="preserve"> </w:t>
      </w:r>
      <w:r w:rsidRPr="00D123BD">
        <w:rPr>
          <w:rFonts w:eastAsiaTheme="minorEastAsia"/>
          <w:b/>
          <w:lang w:eastAsia="zh-CN"/>
        </w:rPr>
        <w:t xml:space="preserve">is replaced by </w:t>
      </w:r>
      <w:proofErr w:type="spellStart"/>
      <w:r w:rsidR="00C50F58" w:rsidRPr="00C104F0">
        <w:rPr>
          <w:rFonts w:eastAsiaTheme="minorEastAsia"/>
          <w:b/>
          <w:i/>
          <w:iCs/>
          <w:lang w:eastAsia="zh-CN"/>
        </w:rPr>
        <w:t>RBext</w:t>
      </w:r>
      <w:r w:rsidR="00C50F58">
        <w:rPr>
          <w:rFonts w:eastAsiaTheme="minorEastAsia"/>
          <w:b/>
          <w:i/>
          <w:iCs/>
          <w:lang w:eastAsia="zh-CN"/>
        </w:rPr>
        <w:t>L+</w:t>
      </w:r>
      <w:r w:rsidRPr="00C104F0">
        <w:rPr>
          <w:rFonts w:eastAsiaTheme="minorEastAsia"/>
          <w:b/>
          <w:i/>
          <w:iCs/>
          <w:lang w:eastAsia="zh-CN"/>
        </w:rPr>
        <w:t>RBstart</w:t>
      </w:r>
      <w:r w:rsidR="00E7084E">
        <w:rPr>
          <w:rFonts w:eastAsiaTheme="minorEastAsia"/>
          <w:b/>
          <w:i/>
          <w:iCs/>
          <w:lang w:eastAsia="zh-CN"/>
        </w:rPr>
        <w:t>_UE</w:t>
      </w:r>
      <w:proofErr w:type="spellEnd"/>
    </w:p>
    <w:p w14:paraId="3C3BFB29" w14:textId="77777777" w:rsidR="009E44F3" w:rsidRPr="00CE528F" w:rsidRDefault="009E44F3" w:rsidP="009E44F3">
      <w:pPr>
        <w:pStyle w:val="ListParagraph"/>
        <w:widowControl w:val="0"/>
        <w:numPr>
          <w:ilvl w:val="0"/>
          <w:numId w:val="31"/>
        </w:numPr>
        <w:spacing w:after="0"/>
        <w:ind w:firstLineChars="0"/>
        <w:rPr>
          <w:rFonts w:eastAsia="Arial"/>
          <w:b/>
          <w:lang w:eastAsia="zh-CN"/>
        </w:rPr>
      </w:pPr>
      <w:r>
        <w:rPr>
          <w:rFonts w:eastAsiaTheme="minorEastAsia"/>
          <w:b/>
          <w:lang w:eastAsia="zh-CN"/>
        </w:rPr>
        <w:t>A UE capability is needed to inform the BS that the UE can reassign its outer/edge allocations to inner. T</w:t>
      </w:r>
      <w:r w:rsidRPr="00CE528F">
        <w:rPr>
          <w:rFonts w:eastAsiaTheme="minorEastAsia"/>
          <w:b/>
          <w:lang w:eastAsia="zh-CN"/>
        </w:rPr>
        <w:t>wo level</w:t>
      </w:r>
      <w:r>
        <w:rPr>
          <w:rFonts w:eastAsiaTheme="minorEastAsia"/>
          <w:b/>
          <w:lang w:eastAsia="zh-CN"/>
        </w:rPr>
        <w:t>s</w:t>
      </w:r>
      <w:r w:rsidRPr="00CE528F">
        <w:rPr>
          <w:rFonts w:eastAsiaTheme="minorEastAsia"/>
          <w:b/>
          <w:lang w:eastAsia="zh-CN"/>
        </w:rPr>
        <w:t xml:space="preserve"> of UE capability may be </w:t>
      </w:r>
      <w:r>
        <w:rPr>
          <w:rFonts w:eastAsiaTheme="minorEastAsia"/>
          <w:b/>
          <w:lang w:eastAsia="zh-CN"/>
        </w:rPr>
        <w:t>considered</w:t>
      </w:r>
      <w:r w:rsidRPr="00CE528F">
        <w:rPr>
          <w:rFonts w:eastAsiaTheme="minorEastAsia"/>
          <w:b/>
          <w:lang w:eastAsia="zh-CN"/>
        </w:rPr>
        <w:t>:</w:t>
      </w:r>
    </w:p>
    <w:p w14:paraId="641F1FB8" w14:textId="3E025AEB" w:rsidR="009E44F3" w:rsidRPr="00CE528F" w:rsidRDefault="009E44F3" w:rsidP="009E44F3">
      <w:pPr>
        <w:pStyle w:val="ListParagraph"/>
        <w:widowControl w:val="0"/>
        <w:numPr>
          <w:ilvl w:val="1"/>
          <w:numId w:val="31"/>
        </w:numPr>
        <w:spacing w:after="0"/>
        <w:ind w:firstLineChars="0"/>
        <w:rPr>
          <w:rFonts w:eastAsia="Arial"/>
          <w:b/>
          <w:lang w:eastAsia="zh-CN"/>
        </w:rPr>
      </w:pPr>
      <w:r>
        <w:rPr>
          <w:rFonts w:eastAsiaTheme="minorEastAsia"/>
          <w:b/>
          <w:lang w:eastAsia="zh-CN"/>
        </w:rPr>
        <w:t xml:space="preserve">One where the UE is able to reassign outer/edge to inner, based on </w:t>
      </w:r>
      <w:proofErr w:type="gramStart"/>
      <w:r w:rsidR="00C50F58" w:rsidRPr="00C50F58">
        <w:rPr>
          <w:rFonts w:eastAsiaTheme="minorEastAsia"/>
          <w:b/>
          <w:i/>
          <w:iCs/>
          <w:lang w:eastAsia="zh-CN"/>
        </w:rPr>
        <w:t>ceil(</w:t>
      </w:r>
      <w:proofErr w:type="gramEnd"/>
      <w:r w:rsidR="00C50F58" w:rsidRPr="00C50F58">
        <w:rPr>
          <w:rFonts w:eastAsiaTheme="minorEastAsia"/>
          <w:b/>
          <w:i/>
          <w:iCs/>
          <w:lang w:eastAsia="zh-CN"/>
        </w:rPr>
        <w:t>N</w:t>
      </w:r>
      <w:r w:rsidRPr="00C50F58">
        <w:rPr>
          <w:rFonts w:eastAsiaTheme="minorEastAsia"/>
          <w:b/>
          <w:i/>
          <w:iCs/>
          <w:lang w:eastAsia="zh-CN"/>
        </w:rPr>
        <w:t>RB</w:t>
      </w:r>
      <w:r w:rsidR="00C50F58" w:rsidRPr="00C50F58">
        <w:rPr>
          <w:rFonts w:eastAsiaTheme="minorEastAsia"/>
          <w:b/>
          <w:i/>
          <w:iCs/>
          <w:lang w:eastAsia="zh-CN"/>
        </w:rPr>
        <w:t>_UE/14)</w:t>
      </w:r>
      <w:r>
        <w:rPr>
          <w:rFonts w:eastAsiaTheme="minorEastAsia"/>
          <w:b/>
          <w:lang w:eastAsia="zh-CN"/>
        </w:rPr>
        <w:t xml:space="preserve"> granularity of signalled RB extension.</w:t>
      </w:r>
    </w:p>
    <w:p w14:paraId="23EAA34F" w14:textId="2A4C45EA" w:rsidR="009E44F3" w:rsidRPr="00E26B89" w:rsidRDefault="009E44F3" w:rsidP="004955CA">
      <w:pPr>
        <w:pStyle w:val="ListParagraph"/>
        <w:widowControl w:val="0"/>
        <w:numPr>
          <w:ilvl w:val="1"/>
          <w:numId w:val="31"/>
        </w:numPr>
        <w:spacing w:after="0"/>
        <w:ind w:firstLineChars="0"/>
        <w:rPr>
          <w:rFonts w:eastAsia="Arial"/>
          <w:b/>
          <w:lang w:eastAsia="zh-CN"/>
        </w:rPr>
      </w:pPr>
      <w:r>
        <w:rPr>
          <w:rFonts w:eastAsiaTheme="minorEastAsia"/>
          <w:b/>
          <w:lang w:eastAsia="zh-CN"/>
        </w:rPr>
        <w:t xml:space="preserve">One where the UE is only able to turn all or none of its outer/edge RBs into inner (this may be a valid option for </w:t>
      </w:r>
      <w:proofErr w:type="spellStart"/>
      <w:r>
        <w:rPr>
          <w:rFonts w:eastAsiaTheme="minorEastAsia"/>
          <w:b/>
          <w:lang w:eastAsia="zh-CN"/>
        </w:rPr>
        <w:t>RedCap</w:t>
      </w:r>
      <w:proofErr w:type="spellEnd"/>
      <w:r>
        <w:rPr>
          <w:rFonts w:eastAsiaTheme="minorEastAsia"/>
          <w:b/>
          <w:lang w:eastAsia="zh-CN"/>
        </w:rPr>
        <w:t xml:space="preserve"> UEs).</w:t>
      </w:r>
    </w:p>
    <w:p w14:paraId="5D2B9450" w14:textId="3844744E" w:rsidR="004F05AB" w:rsidRDefault="004F05AB" w:rsidP="004F05AB">
      <w:pPr>
        <w:pStyle w:val="Heading2"/>
        <w:rPr>
          <w:rFonts w:eastAsia="Arial"/>
          <w:lang w:eastAsia="zh-CN"/>
        </w:rPr>
      </w:pPr>
      <w:r>
        <w:rPr>
          <w:rFonts w:eastAsia="Arial"/>
          <w:lang w:eastAsia="zh-CN"/>
        </w:rPr>
        <w:t>2.</w:t>
      </w:r>
      <w:r w:rsidR="009C79A9">
        <w:rPr>
          <w:rFonts w:eastAsia="Arial"/>
          <w:lang w:eastAsia="zh-CN"/>
        </w:rPr>
        <w:t>4</w:t>
      </w:r>
      <w:r>
        <w:rPr>
          <w:rFonts w:eastAsia="Arial"/>
          <w:lang w:eastAsia="zh-CN"/>
        </w:rPr>
        <w:t xml:space="preserve"> IBE in </w:t>
      </w:r>
      <w:r w:rsidR="009C79A9">
        <w:rPr>
          <w:rFonts w:eastAsia="Arial"/>
          <w:lang w:eastAsia="zh-CN"/>
        </w:rPr>
        <w:t xml:space="preserve">the </w:t>
      </w:r>
      <w:r w:rsidR="00E7084E">
        <w:rPr>
          <w:rFonts w:eastAsia="Arial"/>
          <w:lang w:eastAsia="zh-CN"/>
        </w:rPr>
        <w:t>E</w:t>
      </w:r>
      <w:r>
        <w:rPr>
          <w:rFonts w:eastAsia="Arial"/>
          <w:lang w:eastAsia="zh-CN"/>
        </w:rPr>
        <w:t xml:space="preserve">xtended </w:t>
      </w:r>
      <w:r w:rsidR="00E7084E">
        <w:rPr>
          <w:rFonts w:eastAsia="Arial"/>
          <w:lang w:eastAsia="zh-CN"/>
        </w:rPr>
        <w:t>R</w:t>
      </w:r>
      <w:r>
        <w:rPr>
          <w:rFonts w:eastAsia="Arial"/>
          <w:lang w:eastAsia="zh-CN"/>
        </w:rPr>
        <w:t>egion.</w:t>
      </w:r>
    </w:p>
    <w:p w14:paraId="4D2D4957" w14:textId="436C0A3C" w:rsidR="00BF0E68" w:rsidRDefault="004F05AB" w:rsidP="004F05AB">
      <w:pPr>
        <w:rPr>
          <w:rFonts w:eastAsia="Arial"/>
          <w:lang w:eastAsia="zh-CN"/>
        </w:rPr>
      </w:pPr>
      <w:r>
        <w:rPr>
          <w:rFonts w:eastAsia="Arial"/>
          <w:lang w:eastAsia="zh-CN"/>
        </w:rPr>
        <w:t>In our discussions in</w:t>
      </w:r>
      <w:r w:rsidR="00EA51FF">
        <w:rPr>
          <w:rFonts w:eastAsia="Arial"/>
          <w:lang w:eastAsia="zh-CN"/>
        </w:rPr>
        <w:t xml:space="preserve"> the</w:t>
      </w:r>
      <w:r>
        <w:rPr>
          <w:rFonts w:eastAsia="Arial"/>
          <w:lang w:eastAsia="zh-CN"/>
        </w:rPr>
        <w:t xml:space="preserve"> last meeting</w:t>
      </w:r>
      <w:r w:rsidR="00E7084E">
        <w:rPr>
          <w:rFonts w:eastAsia="Arial"/>
          <w:lang w:eastAsia="zh-CN"/>
        </w:rPr>
        <w:t>,</w:t>
      </w:r>
      <w:r>
        <w:rPr>
          <w:rFonts w:eastAsia="Arial"/>
          <w:lang w:eastAsia="zh-CN"/>
        </w:rPr>
        <w:t xml:space="preserve"> there was consensus that IBE must be met within the extended region. In our view</w:t>
      </w:r>
      <w:r w:rsidR="00EA51FF">
        <w:rPr>
          <w:rFonts w:eastAsia="Arial"/>
          <w:lang w:eastAsia="zh-CN"/>
        </w:rPr>
        <w:t>,</w:t>
      </w:r>
      <w:r>
        <w:rPr>
          <w:rFonts w:eastAsia="Arial"/>
          <w:lang w:eastAsia="zh-CN"/>
        </w:rPr>
        <w:t xml:space="preserve"> this is not an issue since IBE must be </w:t>
      </w:r>
      <w:r w:rsidR="00EA51FF">
        <w:rPr>
          <w:rFonts w:eastAsia="Arial"/>
          <w:lang w:eastAsia="zh-CN"/>
        </w:rPr>
        <w:t>m</w:t>
      </w:r>
      <w:r>
        <w:rPr>
          <w:rFonts w:eastAsia="Arial"/>
          <w:lang w:eastAsia="zh-CN"/>
        </w:rPr>
        <w:t xml:space="preserve">et by inner allocations. Nevertheless, </w:t>
      </w:r>
      <w:r w:rsidR="00EA51FF">
        <w:rPr>
          <w:rFonts w:eastAsia="Arial"/>
          <w:lang w:eastAsia="zh-CN"/>
        </w:rPr>
        <w:t>while</w:t>
      </w:r>
      <w:r>
        <w:rPr>
          <w:rFonts w:eastAsia="Arial"/>
          <w:lang w:eastAsia="zh-CN"/>
        </w:rPr>
        <w:t xml:space="preserve"> limiting the </w:t>
      </w:r>
      <w:r w:rsidR="00D52E81">
        <w:rPr>
          <w:rFonts w:eastAsia="Arial"/>
          <w:lang w:eastAsia="zh-CN"/>
        </w:rPr>
        <w:t>RB extension to NRB_UE/2</w:t>
      </w:r>
      <w:r w:rsidR="00EA51FF">
        <w:rPr>
          <w:rFonts w:eastAsia="Arial"/>
          <w:lang w:eastAsia="zh-CN"/>
        </w:rPr>
        <w:t>,</w:t>
      </w:r>
      <w:r w:rsidR="00D52E81">
        <w:rPr>
          <w:rFonts w:eastAsia="Arial"/>
          <w:lang w:eastAsia="zh-CN"/>
        </w:rPr>
        <w:t xml:space="preserve"> the extended region may not cover the entire BS RBs</w:t>
      </w:r>
      <w:r w:rsidR="00EA51FF">
        <w:rPr>
          <w:rFonts w:eastAsia="Arial"/>
          <w:lang w:eastAsia="zh-CN"/>
        </w:rPr>
        <w:t>,</w:t>
      </w:r>
      <w:r w:rsidR="00D52E81">
        <w:rPr>
          <w:rFonts w:eastAsia="Arial"/>
          <w:lang w:eastAsia="zh-CN"/>
        </w:rPr>
        <w:t xml:space="preserve"> but at the same time </w:t>
      </w:r>
      <w:r w:rsidR="00E7084E">
        <w:rPr>
          <w:rFonts w:eastAsia="Arial"/>
          <w:lang w:eastAsia="zh-CN"/>
        </w:rPr>
        <w:t xml:space="preserve">the UE with extended bandwidth </w:t>
      </w:r>
      <w:r w:rsidR="00D52E81">
        <w:rPr>
          <w:rFonts w:eastAsia="Arial"/>
          <w:lang w:eastAsia="zh-CN"/>
        </w:rPr>
        <w:t xml:space="preserve">will have less emissions </w:t>
      </w:r>
      <w:r w:rsidR="00E7084E">
        <w:rPr>
          <w:rFonts w:eastAsia="Arial"/>
          <w:lang w:eastAsia="zh-CN"/>
        </w:rPr>
        <w:t xml:space="preserve">in the extended region </w:t>
      </w:r>
      <w:r w:rsidR="00D52E81">
        <w:rPr>
          <w:rFonts w:eastAsia="Arial"/>
          <w:lang w:eastAsia="zh-CN"/>
        </w:rPr>
        <w:t xml:space="preserve">than a </w:t>
      </w:r>
      <w:r w:rsidR="00EA51FF">
        <w:rPr>
          <w:rFonts w:eastAsia="Arial"/>
          <w:lang w:eastAsia="zh-CN"/>
        </w:rPr>
        <w:t xml:space="preserve">UE </w:t>
      </w:r>
      <w:r w:rsidR="00D52E81">
        <w:rPr>
          <w:rFonts w:eastAsia="Arial"/>
          <w:lang w:eastAsia="zh-CN"/>
        </w:rPr>
        <w:t xml:space="preserve">that would use </w:t>
      </w:r>
      <w:r w:rsidR="0044674E">
        <w:rPr>
          <w:rFonts w:eastAsia="Arial"/>
          <w:lang w:eastAsia="zh-CN"/>
        </w:rPr>
        <w:t>the entire extended bandwidth.</w:t>
      </w:r>
    </w:p>
    <w:p w14:paraId="1873C8AC" w14:textId="36CF139F" w:rsidR="004F05AB" w:rsidRDefault="00C50F58" w:rsidP="009C79A9">
      <w:pPr>
        <w:spacing w:after="0"/>
        <w:rPr>
          <w:rFonts w:eastAsia="Arial"/>
          <w:lang w:eastAsia="zh-CN"/>
        </w:rPr>
      </w:pPr>
      <w:r>
        <w:rPr>
          <w:rFonts w:eastAsia="Arial"/>
          <w:lang w:eastAsia="zh-CN"/>
        </w:rPr>
        <w:t>So</w:t>
      </w:r>
      <w:r w:rsidR="00E26B89">
        <w:rPr>
          <w:rFonts w:eastAsia="Arial"/>
          <w:lang w:eastAsia="zh-CN"/>
        </w:rPr>
        <w:t>,</w:t>
      </w:r>
      <w:r>
        <w:rPr>
          <w:rFonts w:eastAsia="Arial"/>
          <w:lang w:eastAsia="zh-CN"/>
        </w:rPr>
        <w:t xml:space="preserve"> it should be expected that the UE meets the IBE requirement within the extended RBs</w:t>
      </w:r>
      <w:r w:rsidR="00F87BDA">
        <w:rPr>
          <w:rFonts w:eastAsia="Arial"/>
          <w:lang w:eastAsia="zh-CN"/>
        </w:rPr>
        <w:t xml:space="preserve"> but not within the guard band</w:t>
      </w:r>
      <w:r w:rsidR="009D1550">
        <w:rPr>
          <w:rFonts w:eastAsia="Arial"/>
          <w:lang w:eastAsia="zh-CN"/>
        </w:rPr>
        <w:t xml:space="preserve"> at the edges of the extended bandwidth</w:t>
      </w:r>
      <w:r w:rsidR="00F87BDA">
        <w:rPr>
          <w:rFonts w:eastAsia="Arial"/>
          <w:lang w:eastAsia="zh-CN"/>
        </w:rPr>
        <w:t>. It should be noted that the NRB extension approach does not retain the initial</w:t>
      </w:r>
      <w:r w:rsidR="00E26B89">
        <w:rPr>
          <w:rFonts w:eastAsia="Arial"/>
          <w:lang w:eastAsia="zh-CN"/>
        </w:rPr>
        <w:t xml:space="preserve"> guard band </w:t>
      </w:r>
      <w:r w:rsidR="00BF0E68">
        <w:rPr>
          <w:rFonts w:eastAsia="Arial"/>
          <w:lang w:eastAsia="zh-CN"/>
        </w:rPr>
        <w:t xml:space="preserve">as shown in the examples in Figure 2. Thus, an IBE requirement should apply to the extended RBs on each side of the initial UE CBW RBs. Since the RBs in the extended region are </w:t>
      </w:r>
      <w:proofErr w:type="gramStart"/>
      <w:r w:rsidR="00BF0E68">
        <w:rPr>
          <w:rFonts w:eastAsia="Arial"/>
          <w:lang w:eastAsia="zh-CN"/>
        </w:rPr>
        <w:t>by definition not</w:t>
      </w:r>
      <w:proofErr w:type="gramEnd"/>
      <w:r w:rsidR="00BF0E68">
        <w:rPr>
          <w:rFonts w:eastAsia="Arial"/>
          <w:lang w:eastAsia="zh-CN"/>
        </w:rPr>
        <w:t xml:space="preserve"> allocated</w:t>
      </w:r>
      <w:r w:rsidR="009D1550">
        <w:rPr>
          <w:rFonts w:eastAsia="Arial"/>
          <w:lang w:eastAsia="zh-CN"/>
        </w:rPr>
        <w:t>,</w:t>
      </w:r>
      <w:r w:rsidR="00BF0E68">
        <w:rPr>
          <w:rFonts w:eastAsia="Arial"/>
          <w:lang w:eastAsia="zh-CN"/>
        </w:rPr>
        <w:t xml:space="preserve"> they should meet the requirement in the first row of </w:t>
      </w:r>
      <w:r w:rsidR="00BF0E68" w:rsidRPr="00BF0E68">
        <w:rPr>
          <w:rFonts w:eastAsia="Arial"/>
          <w:lang w:eastAsia="zh-CN"/>
        </w:rPr>
        <w:t>Table 6.4.2.3-1: Requirements for in-band emissions</w:t>
      </w:r>
      <w:r w:rsidR="00BF0E68">
        <w:rPr>
          <w:rFonts w:eastAsia="Arial"/>
          <w:lang w:eastAsia="zh-CN"/>
        </w:rPr>
        <w:t xml:space="preserve"> in TS38.101-1:</w:t>
      </w:r>
    </w:p>
    <w:p w14:paraId="1857D284" w14:textId="345F3CEB" w:rsidR="00BF0E68" w:rsidRDefault="00BF0E68" w:rsidP="009C79A9">
      <w:pPr>
        <w:jc w:val="center"/>
        <w:rPr>
          <w:rFonts w:eastAsia="Arial"/>
          <w:lang w:eastAsia="zh-CN"/>
        </w:rPr>
      </w:pPr>
      <w:r w:rsidRPr="001D0283">
        <w:rPr>
          <w:rFonts w:cs="Arial"/>
          <w:position w:val="-54"/>
        </w:rPr>
        <w:object w:dxaOrig="3900" w:dyaOrig="1160" w14:anchorId="7A3DEAA2">
          <v:shape id="_x0000_i1026" type="#_x0000_t75" style="width:179.7pt;height:46.35pt" o:ole="">
            <v:imagedata r:id="rId18" o:title=""/>
          </v:shape>
          <o:OLEObject Type="Embed" ProgID="Equation.3" ShapeID="_x0000_i1026" DrawAspect="Content" ObjectID="_1804688475" r:id="rId19"/>
        </w:object>
      </w:r>
    </w:p>
    <w:p w14:paraId="47CAF662" w14:textId="4F427C57" w:rsidR="009C79A9" w:rsidRDefault="009C79A9" w:rsidP="009C79A9">
      <w:pPr>
        <w:widowControl w:val="0"/>
        <w:spacing w:after="0"/>
        <w:rPr>
          <w:rFonts w:eastAsia="Arial"/>
          <w:lang w:eastAsia="zh-CN"/>
        </w:rPr>
      </w:pPr>
      <w:r w:rsidRPr="009C79A9">
        <w:rPr>
          <w:rFonts w:eastAsia="Arial"/>
          <w:lang w:eastAsia="zh-CN"/>
        </w:rPr>
        <w:t xml:space="preserve">In this equation, </w:t>
      </w:r>
      <w:r w:rsidR="00717790">
        <w:rPr>
          <w:rFonts w:eastAsia="Arial"/>
          <w:lang w:eastAsia="zh-CN"/>
        </w:rPr>
        <w:t>the first term depends on NRB and LCRB, while the second only depends on LCRB</w:t>
      </w:r>
      <w:r w:rsidRPr="009C79A9">
        <w:rPr>
          <w:rFonts w:eastAsia="Arial"/>
          <w:lang w:eastAsia="zh-CN"/>
        </w:rPr>
        <w:t>. For LCRB it is obviously the allocated RB within the initial UE CBW</w:t>
      </w:r>
      <w:r w:rsidR="009D1550">
        <w:rPr>
          <w:rFonts w:eastAsia="Arial"/>
          <w:lang w:eastAsia="zh-CN"/>
        </w:rPr>
        <w:t>.</w:t>
      </w:r>
      <w:r w:rsidRPr="009C79A9">
        <w:rPr>
          <w:rFonts w:eastAsia="Arial"/>
          <w:lang w:eastAsia="zh-CN"/>
        </w:rPr>
        <w:t xml:space="preserve"> </w:t>
      </w:r>
      <w:r w:rsidR="009D1550">
        <w:rPr>
          <w:rFonts w:eastAsia="Arial"/>
          <w:lang w:eastAsia="zh-CN"/>
        </w:rPr>
        <w:t>T</w:t>
      </w:r>
      <w:r w:rsidRPr="009C79A9">
        <w:rPr>
          <w:rFonts w:eastAsia="Arial"/>
          <w:lang w:eastAsia="zh-CN"/>
        </w:rPr>
        <w:t xml:space="preserve">he question is whether NBR should be the initial UE CBW NRB (NRB_UE) or the extended </w:t>
      </w:r>
      <w:r>
        <w:rPr>
          <w:rFonts w:eastAsia="Arial"/>
          <w:lang w:eastAsia="zh-CN"/>
        </w:rPr>
        <w:t>NRB:</w:t>
      </w:r>
    </w:p>
    <w:p w14:paraId="62D5A90D" w14:textId="44A8FF67" w:rsidR="009C79A9" w:rsidRDefault="009C79A9" w:rsidP="009C79A9">
      <w:pPr>
        <w:widowControl w:val="0"/>
        <w:spacing w:after="0"/>
        <w:jc w:val="center"/>
        <w:rPr>
          <w:rFonts w:eastAsiaTheme="minorEastAsia"/>
          <w:b/>
          <w:i/>
          <w:iCs/>
          <w:lang w:eastAsia="zh-CN"/>
        </w:rPr>
      </w:pPr>
      <w:proofErr w:type="spellStart"/>
      <w:r w:rsidRPr="009C79A9">
        <w:rPr>
          <w:rFonts w:eastAsia="Arial"/>
          <w:b/>
          <w:bCs/>
          <w:lang w:eastAsia="zh-CN"/>
        </w:rPr>
        <w:t>NRBext</w:t>
      </w:r>
      <w:proofErr w:type="spellEnd"/>
      <w:r w:rsidRPr="009C79A9">
        <w:rPr>
          <w:rFonts w:eastAsia="Arial"/>
          <w:b/>
          <w:bCs/>
          <w:lang w:eastAsia="zh-CN"/>
        </w:rPr>
        <w:t>=</w:t>
      </w:r>
      <w:proofErr w:type="spellStart"/>
      <w:r w:rsidRPr="009C79A9">
        <w:rPr>
          <w:rFonts w:eastAsiaTheme="minorEastAsia"/>
          <w:b/>
          <w:i/>
          <w:iCs/>
          <w:lang w:eastAsia="zh-CN"/>
        </w:rPr>
        <w:t>NRB_UE+RBextL+RBextH</w:t>
      </w:r>
      <w:proofErr w:type="spellEnd"/>
    </w:p>
    <w:p w14:paraId="225AFE8B" w14:textId="77777777" w:rsidR="009D1550" w:rsidRDefault="009D1550" w:rsidP="009C79A9">
      <w:pPr>
        <w:widowControl w:val="0"/>
        <w:spacing w:after="0"/>
        <w:jc w:val="center"/>
        <w:rPr>
          <w:rFonts w:eastAsiaTheme="minorEastAsia"/>
          <w:b/>
          <w:i/>
          <w:iCs/>
          <w:lang w:eastAsia="zh-CN"/>
        </w:rPr>
      </w:pPr>
    </w:p>
    <w:p w14:paraId="783AF082" w14:textId="7C2A8DAF" w:rsidR="009C79A9" w:rsidRPr="009C79A9" w:rsidRDefault="009C79A9" w:rsidP="009C79A9">
      <w:pPr>
        <w:widowControl w:val="0"/>
        <w:spacing w:after="0"/>
        <w:rPr>
          <w:rFonts w:eastAsiaTheme="minorEastAsia"/>
          <w:bCs/>
          <w:lang w:eastAsia="zh-CN"/>
        </w:rPr>
      </w:pPr>
      <w:r>
        <w:rPr>
          <w:rFonts w:eastAsiaTheme="minorEastAsia"/>
          <w:bCs/>
          <w:lang w:eastAsia="zh-CN"/>
        </w:rPr>
        <w:t xml:space="preserve">In our view, there is no reason that the UE should have a more stringent IBE </w:t>
      </w:r>
      <w:r w:rsidR="00E47A89">
        <w:rPr>
          <w:rFonts w:eastAsiaTheme="minorEastAsia"/>
          <w:bCs/>
          <w:lang w:eastAsia="zh-CN"/>
        </w:rPr>
        <w:t xml:space="preserve">floor </w:t>
      </w:r>
      <w:r>
        <w:rPr>
          <w:rFonts w:eastAsiaTheme="minorEastAsia"/>
          <w:bCs/>
          <w:lang w:eastAsia="zh-CN"/>
        </w:rPr>
        <w:t>requirement</w:t>
      </w:r>
      <w:r w:rsidR="00E47A89">
        <w:rPr>
          <w:rFonts w:eastAsiaTheme="minorEastAsia"/>
          <w:bCs/>
          <w:lang w:eastAsia="zh-CN"/>
        </w:rPr>
        <w:t xml:space="preserve"> (first term of the equation)</w:t>
      </w:r>
      <w:r>
        <w:rPr>
          <w:rFonts w:eastAsiaTheme="minorEastAsia"/>
          <w:bCs/>
          <w:lang w:eastAsia="zh-CN"/>
        </w:rPr>
        <w:t xml:space="preserve"> within the extended RBs compared to the RBs within the UE initial NRB_UE. Thus</w:t>
      </w:r>
      <w:r w:rsidR="00EF265A">
        <w:rPr>
          <w:rFonts w:eastAsiaTheme="minorEastAsia"/>
          <w:bCs/>
          <w:lang w:eastAsia="zh-CN"/>
        </w:rPr>
        <w:t>,</w:t>
      </w:r>
      <w:r>
        <w:rPr>
          <w:rFonts w:eastAsiaTheme="minorEastAsia"/>
          <w:bCs/>
          <w:lang w:eastAsia="zh-CN"/>
        </w:rPr>
        <w:t xml:space="preserve"> the equation applies to all RBs </w:t>
      </w:r>
      <w:r w:rsidR="00E47A89">
        <w:rPr>
          <w:rFonts w:eastAsiaTheme="minorEastAsia"/>
          <w:bCs/>
          <w:lang w:eastAsia="zh-CN"/>
        </w:rPr>
        <w:t xml:space="preserve">(initial and extended) </w:t>
      </w:r>
      <w:r>
        <w:rPr>
          <w:rFonts w:eastAsiaTheme="minorEastAsia"/>
          <w:bCs/>
          <w:lang w:eastAsia="zh-CN"/>
        </w:rPr>
        <w:t xml:space="preserve">but </w:t>
      </w:r>
      <w:r w:rsidR="009D1550">
        <w:rPr>
          <w:rFonts w:eastAsiaTheme="minorEastAsia"/>
          <w:bCs/>
          <w:lang w:eastAsia="zh-CN"/>
        </w:rPr>
        <w:t>using</w:t>
      </w:r>
      <w:r>
        <w:rPr>
          <w:rFonts w:eastAsiaTheme="minorEastAsia"/>
          <w:bCs/>
          <w:lang w:eastAsia="zh-CN"/>
        </w:rPr>
        <w:t xml:space="preserve"> NRB</w:t>
      </w:r>
      <w:r w:rsidR="009D1550">
        <w:rPr>
          <w:rFonts w:eastAsiaTheme="minorEastAsia"/>
          <w:bCs/>
          <w:lang w:eastAsia="zh-CN"/>
        </w:rPr>
        <w:t>_UE</w:t>
      </w:r>
      <w:r>
        <w:rPr>
          <w:rFonts w:eastAsiaTheme="minorEastAsia"/>
          <w:bCs/>
          <w:lang w:eastAsia="zh-CN"/>
        </w:rPr>
        <w:t xml:space="preserve"> </w:t>
      </w:r>
      <w:r w:rsidR="009D1550">
        <w:rPr>
          <w:rFonts w:eastAsiaTheme="minorEastAsia"/>
          <w:bCs/>
          <w:lang w:eastAsia="zh-CN"/>
        </w:rPr>
        <w:t xml:space="preserve">(not </w:t>
      </w:r>
      <w:proofErr w:type="spellStart"/>
      <w:r w:rsidR="009D1550">
        <w:rPr>
          <w:rFonts w:eastAsiaTheme="minorEastAsia"/>
          <w:bCs/>
          <w:lang w:eastAsia="zh-CN"/>
        </w:rPr>
        <w:t>NRBext</w:t>
      </w:r>
      <w:proofErr w:type="spellEnd"/>
      <w:r w:rsidR="009D1550">
        <w:rPr>
          <w:rFonts w:eastAsiaTheme="minorEastAsia"/>
          <w:bCs/>
          <w:lang w:eastAsia="zh-CN"/>
        </w:rPr>
        <w:t xml:space="preserve">) </w:t>
      </w:r>
      <w:r>
        <w:rPr>
          <w:rFonts w:eastAsiaTheme="minorEastAsia"/>
          <w:bCs/>
          <w:lang w:eastAsia="zh-CN"/>
        </w:rPr>
        <w:t>and LCRB</w:t>
      </w:r>
      <w:r w:rsidR="009D1550">
        <w:rPr>
          <w:rFonts w:eastAsiaTheme="minorEastAsia"/>
          <w:bCs/>
          <w:lang w:eastAsia="zh-CN"/>
        </w:rPr>
        <w:t>_UE</w:t>
      </w:r>
      <w:r>
        <w:rPr>
          <w:rFonts w:eastAsiaTheme="minorEastAsia"/>
          <w:bCs/>
          <w:lang w:eastAsia="zh-CN"/>
        </w:rPr>
        <w:t xml:space="preserve"> </w:t>
      </w:r>
      <w:r w:rsidR="009D1550">
        <w:rPr>
          <w:rFonts w:eastAsiaTheme="minorEastAsia"/>
          <w:bCs/>
          <w:lang w:eastAsia="zh-CN"/>
        </w:rPr>
        <w:t>in the equations</w:t>
      </w:r>
      <w:r>
        <w:rPr>
          <w:rFonts w:eastAsiaTheme="minorEastAsia"/>
          <w:bCs/>
          <w:lang w:eastAsia="zh-CN"/>
        </w:rPr>
        <w:t xml:space="preserve">. </w:t>
      </w:r>
    </w:p>
    <w:p w14:paraId="2C33DB9A" w14:textId="064B14E5" w:rsidR="009E44F3" w:rsidRDefault="009E44F3" w:rsidP="00EF265A">
      <w:pPr>
        <w:spacing w:after="0"/>
        <w:rPr>
          <w:rFonts w:eastAsia="Arial"/>
          <w:lang w:eastAsia="zh-CN"/>
        </w:rPr>
      </w:pPr>
    </w:p>
    <w:p w14:paraId="66A76278" w14:textId="588CA12C" w:rsidR="00D52E81" w:rsidRPr="00EF265A" w:rsidRDefault="00D52E81" w:rsidP="00EF265A">
      <w:pPr>
        <w:spacing w:after="0"/>
        <w:rPr>
          <w:rFonts w:eastAsia="Arial"/>
          <w:lang w:eastAsia="zh-CN"/>
        </w:rPr>
      </w:pPr>
      <w:r w:rsidRPr="00D52E81">
        <w:rPr>
          <w:rFonts w:eastAsia="Arial"/>
          <w:b/>
          <w:bCs/>
          <w:lang w:eastAsia="zh-CN"/>
        </w:rPr>
        <w:t>Proposal</w:t>
      </w:r>
      <w:r w:rsidR="009C79A9">
        <w:rPr>
          <w:rFonts w:eastAsia="Arial"/>
          <w:b/>
          <w:bCs/>
          <w:lang w:eastAsia="zh-CN"/>
        </w:rPr>
        <w:t xml:space="preserve"> on IBE</w:t>
      </w:r>
      <w:r w:rsidRPr="00D52E81">
        <w:rPr>
          <w:rFonts w:eastAsia="Arial"/>
          <w:b/>
          <w:bCs/>
          <w:lang w:eastAsia="zh-CN"/>
        </w:rPr>
        <w:t xml:space="preserve">: </w:t>
      </w:r>
      <w:r w:rsidR="00EF265A">
        <w:rPr>
          <w:rFonts w:eastAsia="Arial"/>
          <w:b/>
          <w:bCs/>
          <w:lang w:eastAsia="zh-CN"/>
        </w:rPr>
        <w:t xml:space="preserve">The extended RBs have no allocation by definition and thus should meet the IBE requirement in the first </w:t>
      </w:r>
      <w:r w:rsidR="00EF265A" w:rsidRPr="00EF265A">
        <w:rPr>
          <w:rFonts w:eastAsia="Arial"/>
          <w:b/>
          <w:bCs/>
          <w:lang w:eastAsia="zh-CN"/>
        </w:rPr>
        <w:t>row of Table 6.4.2.3-1</w:t>
      </w:r>
      <w:r w:rsidR="00E47A89">
        <w:rPr>
          <w:rFonts w:eastAsia="Arial"/>
          <w:b/>
          <w:bCs/>
          <w:lang w:eastAsia="zh-CN"/>
        </w:rPr>
        <w:t xml:space="preserve"> </w:t>
      </w:r>
      <w:r w:rsidR="00EF265A" w:rsidRPr="00EF265A">
        <w:rPr>
          <w:rFonts w:eastAsia="Arial"/>
          <w:b/>
          <w:bCs/>
          <w:lang w:eastAsia="zh-CN"/>
        </w:rPr>
        <w:t>in TS38.101-1</w:t>
      </w:r>
      <w:r w:rsidR="00EF265A">
        <w:rPr>
          <w:rFonts w:eastAsia="Arial"/>
          <w:b/>
          <w:bCs/>
          <w:lang w:eastAsia="zh-CN"/>
        </w:rPr>
        <w:t xml:space="preserve"> where NRB is the initial UE CBW NRB and LCRB is the number of allocated RB within initial UE CBW NRB.</w:t>
      </w:r>
      <w:r w:rsidR="00B35A63">
        <w:rPr>
          <w:rFonts w:eastAsia="Arial"/>
          <w:b/>
          <w:bCs/>
          <w:lang w:eastAsia="zh-CN"/>
        </w:rPr>
        <w:t xml:space="preserve"> The IBE requirement is not made more stringent within the extended RBs.</w:t>
      </w:r>
    </w:p>
    <w:p w14:paraId="460848FE" w14:textId="630F08BC" w:rsidR="009C79A9" w:rsidRDefault="009C79A9" w:rsidP="009C79A9">
      <w:pPr>
        <w:pStyle w:val="Heading2"/>
        <w:rPr>
          <w:rFonts w:eastAsia="Arial"/>
          <w:lang w:eastAsia="zh-CN"/>
        </w:rPr>
      </w:pPr>
      <w:r>
        <w:rPr>
          <w:rFonts w:eastAsia="Arial"/>
          <w:lang w:eastAsia="zh-CN"/>
        </w:rPr>
        <w:t xml:space="preserve">2.5 A-MPR </w:t>
      </w:r>
      <w:r w:rsidR="009D1550">
        <w:rPr>
          <w:rFonts w:eastAsia="Arial"/>
          <w:lang w:eastAsia="zh-CN"/>
        </w:rPr>
        <w:t>H</w:t>
      </w:r>
      <w:r>
        <w:rPr>
          <w:rFonts w:eastAsia="Arial"/>
          <w:lang w:eastAsia="zh-CN"/>
        </w:rPr>
        <w:t>andling.</w:t>
      </w:r>
    </w:p>
    <w:p w14:paraId="46E5115D" w14:textId="7BFB64A7" w:rsidR="009C79A9" w:rsidRDefault="00EF265A" w:rsidP="009C79A9">
      <w:pPr>
        <w:rPr>
          <w:rFonts w:eastAsia="Arial"/>
          <w:lang w:eastAsia="zh-CN"/>
        </w:rPr>
      </w:pPr>
      <w:r>
        <w:rPr>
          <w:rFonts w:eastAsia="Arial"/>
          <w:lang w:eastAsia="zh-CN"/>
        </w:rPr>
        <w:t xml:space="preserve">Because the A-MPR tables have no values when MPR&gt;A-MPR, for outer allocations </w:t>
      </w:r>
      <w:r w:rsidR="00596426">
        <w:rPr>
          <w:rFonts w:eastAsia="Arial"/>
          <w:lang w:eastAsia="zh-CN"/>
        </w:rPr>
        <w:t xml:space="preserve">it is unclear whether the improved MPR </w:t>
      </w:r>
      <w:r w:rsidR="009D1550">
        <w:rPr>
          <w:rFonts w:eastAsia="Arial"/>
          <w:lang w:eastAsia="zh-CN"/>
        </w:rPr>
        <w:t>allows to meet the additional emissions requirements especially if these are out of band</w:t>
      </w:r>
      <w:r w:rsidR="00596426">
        <w:rPr>
          <w:rFonts w:eastAsia="Arial"/>
          <w:lang w:eastAsia="zh-CN"/>
        </w:rPr>
        <w:t>.</w:t>
      </w:r>
    </w:p>
    <w:p w14:paraId="7DEB46CE" w14:textId="40CF081C" w:rsidR="009C79A9" w:rsidRPr="00596426" w:rsidRDefault="00DB0D2C" w:rsidP="00596426">
      <w:pPr>
        <w:spacing w:after="0"/>
        <w:rPr>
          <w:rFonts w:eastAsia="SimSun"/>
          <w:b/>
          <w:bCs/>
          <w:color w:val="000000" w:themeColor="text1"/>
          <w:szCs w:val="24"/>
          <w:lang w:eastAsia="zh-CN"/>
        </w:rPr>
      </w:pPr>
      <w:r w:rsidRPr="0075593D">
        <w:rPr>
          <w:rFonts w:eastAsia="SimSun"/>
          <w:b/>
          <w:bCs/>
          <w:color w:val="000000" w:themeColor="text1"/>
          <w:szCs w:val="24"/>
          <w:lang w:eastAsia="zh-CN"/>
        </w:rPr>
        <w:t>Proposal on additional emission requirements:</w:t>
      </w:r>
      <w:r>
        <w:rPr>
          <w:rFonts w:eastAsia="SimSun"/>
          <w:b/>
          <w:bCs/>
          <w:color w:val="000000" w:themeColor="text1"/>
          <w:szCs w:val="24"/>
          <w:lang w:eastAsia="zh-CN"/>
        </w:rPr>
        <w:t xml:space="preserve"> In cases where additional emission should be met, the UE performs the </w:t>
      </w:r>
      <w:proofErr w:type="gramStart"/>
      <w:r>
        <w:rPr>
          <w:rFonts w:eastAsia="SimSun"/>
          <w:b/>
          <w:bCs/>
          <w:color w:val="000000" w:themeColor="text1"/>
          <w:szCs w:val="24"/>
          <w:lang w:eastAsia="zh-CN"/>
        </w:rPr>
        <w:t>max(</w:t>
      </w:r>
      <w:proofErr w:type="gramEnd"/>
      <w:r>
        <w:rPr>
          <w:rFonts w:eastAsia="SimSun"/>
          <w:b/>
          <w:bCs/>
          <w:color w:val="000000" w:themeColor="text1"/>
          <w:szCs w:val="24"/>
          <w:lang w:eastAsia="zh-CN"/>
        </w:rPr>
        <w:t>MPR, A-MPR) function based on the specified A-MPR and the initial UE CBW MPR</w:t>
      </w:r>
      <w:r w:rsidR="000F4067">
        <w:rPr>
          <w:rFonts w:eastAsia="SimSun"/>
          <w:b/>
          <w:bCs/>
          <w:color w:val="000000" w:themeColor="text1"/>
          <w:szCs w:val="24"/>
          <w:lang w:eastAsia="zh-CN"/>
        </w:rPr>
        <w:t xml:space="preserve"> and thus set its backoff ignoring any MPR reduction</w:t>
      </w:r>
      <w:r>
        <w:rPr>
          <w:rFonts w:eastAsia="SimSun"/>
          <w:b/>
          <w:bCs/>
          <w:color w:val="000000" w:themeColor="text1"/>
          <w:szCs w:val="24"/>
          <w:lang w:eastAsia="zh-CN"/>
        </w:rPr>
        <w:t>. This is because the A-MPR tables have no values when MPR&gt;A-MPR and thus in case of an outer allocation it is unclear whether the improved MPR can apply</w:t>
      </w:r>
      <w:r w:rsidR="00EF265A">
        <w:rPr>
          <w:rFonts w:eastAsia="SimSun"/>
          <w:b/>
          <w:bCs/>
          <w:color w:val="000000" w:themeColor="text1"/>
          <w:szCs w:val="24"/>
          <w:lang w:eastAsia="zh-CN"/>
        </w:rPr>
        <w:t>.</w:t>
      </w:r>
    </w:p>
    <w:p w14:paraId="3A1423CF" w14:textId="5DD5410B" w:rsidR="006C0252" w:rsidRPr="00343AA7" w:rsidRDefault="006C0252" w:rsidP="00476DF4">
      <w:pPr>
        <w:pStyle w:val="Heading1"/>
        <w:numPr>
          <w:ilvl w:val="0"/>
          <w:numId w:val="1"/>
        </w:numPr>
        <w:ind w:left="567" w:hanging="567"/>
      </w:pPr>
      <w:r>
        <w:t>Conclusion</w:t>
      </w:r>
    </w:p>
    <w:p w14:paraId="30DE081B" w14:textId="4E35EC86" w:rsidR="00DE0333" w:rsidRDefault="006C0252" w:rsidP="00DE0333">
      <w:r w:rsidRPr="0018029D">
        <w:t>In</w:t>
      </w:r>
      <w:r w:rsidR="00A42874" w:rsidRPr="0018029D">
        <w:t xml:space="preserve"> this contribution, </w:t>
      </w:r>
      <w:r w:rsidR="000F5302">
        <w:t xml:space="preserve">we </w:t>
      </w:r>
      <w:r w:rsidR="004F05AB">
        <w:t xml:space="preserve">further explained and </w:t>
      </w:r>
      <w:r w:rsidR="00B35A63">
        <w:t>r</w:t>
      </w:r>
      <w:r w:rsidR="004F05AB">
        <w:t>efined</w:t>
      </w:r>
      <w:r w:rsidR="000F5302">
        <w:t xml:space="preserve"> our proposals from [1] based on last meeting </w:t>
      </w:r>
      <w:r w:rsidR="004F05AB">
        <w:t>discussions.</w:t>
      </w:r>
    </w:p>
    <w:p w14:paraId="5F6655A8" w14:textId="77777777" w:rsidR="00574379" w:rsidRDefault="00574379" w:rsidP="00574379">
      <w:pPr>
        <w:spacing w:after="0"/>
        <w:rPr>
          <w:rFonts w:eastAsia="Arial"/>
          <w:b/>
          <w:bCs/>
          <w:lang w:eastAsia="zh-CN"/>
        </w:rPr>
      </w:pPr>
      <w:r w:rsidRPr="00323A56">
        <w:rPr>
          <w:rFonts w:eastAsia="Arial"/>
          <w:b/>
          <w:bCs/>
          <w:lang w:eastAsia="zh-CN"/>
        </w:rPr>
        <w:t xml:space="preserve">Proposal 1: </w:t>
      </w:r>
    </w:p>
    <w:p w14:paraId="73F0F43B" w14:textId="77777777" w:rsidR="00574379" w:rsidRDefault="00574379" w:rsidP="00574379">
      <w:pPr>
        <w:pStyle w:val="ListParagraph"/>
        <w:numPr>
          <w:ilvl w:val="0"/>
          <w:numId w:val="43"/>
        </w:numPr>
        <w:spacing w:after="0"/>
        <w:ind w:firstLineChars="0"/>
        <w:rPr>
          <w:rFonts w:eastAsia="Arial"/>
          <w:b/>
          <w:bCs/>
          <w:lang w:eastAsia="zh-CN"/>
        </w:rPr>
      </w:pPr>
      <w:r w:rsidRPr="005C23F0">
        <w:rPr>
          <w:rFonts w:eastAsia="Arial"/>
          <w:b/>
          <w:bCs/>
          <w:lang w:eastAsia="zh-CN"/>
        </w:rPr>
        <w:t xml:space="preserve">To verify that all outer </w:t>
      </w:r>
      <w:r>
        <w:rPr>
          <w:rFonts w:eastAsia="Arial"/>
          <w:b/>
          <w:bCs/>
          <w:lang w:eastAsia="zh-CN"/>
        </w:rPr>
        <w:t xml:space="preserve">RBs </w:t>
      </w:r>
      <w:r w:rsidRPr="005C23F0">
        <w:rPr>
          <w:rFonts w:eastAsia="Arial"/>
          <w:b/>
          <w:bCs/>
          <w:lang w:eastAsia="zh-CN"/>
        </w:rPr>
        <w:t>can be turned into inner, the critical case to verify is the 15kHz SCS 1RB0 case with IMD3 &lt; -13dBm/MHz and IMD5 &lt;-25dBm/</w:t>
      </w:r>
      <w:proofErr w:type="spellStart"/>
      <w:r w:rsidRPr="005C23F0">
        <w:rPr>
          <w:rFonts w:eastAsia="Arial"/>
          <w:b/>
          <w:bCs/>
          <w:lang w:eastAsia="zh-CN"/>
        </w:rPr>
        <w:t>MHz.</w:t>
      </w:r>
      <w:proofErr w:type="spellEnd"/>
      <w:r w:rsidRPr="005C23F0">
        <w:rPr>
          <w:rFonts w:eastAsia="Arial"/>
          <w:b/>
          <w:bCs/>
          <w:lang w:eastAsia="zh-CN"/>
        </w:rPr>
        <w:t xml:space="preserve"> </w:t>
      </w:r>
    </w:p>
    <w:p w14:paraId="7DD67257" w14:textId="77777777" w:rsidR="00574379" w:rsidRDefault="00574379" w:rsidP="00574379">
      <w:pPr>
        <w:pStyle w:val="ListParagraph"/>
        <w:numPr>
          <w:ilvl w:val="0"/>
          <w:numId w:val="43"/>
        </w:numPr>
        <w:spacing w:after="0"/>
        <w:ind w:firstLineChars="0"/>
        <w:rPr>
          <w:rFonts w:eastAsia="Arial"/>
          <w:b/>
          <w:bCs/>
          <w:lang w:eastAsia="zh-CN"/>
        </w:rPr>
      </w:pPr>
      <w:r>
        <w:rPr>
          <w:rFonts w:eastAsia="Arial"/>
          <w:b/>
          <w:bCs/>
          <w:lang w:eastAsia="zh-CN"/>
        </w:rPr>
        <w:t>The fully allocated case</w:t>
      </w:r>
      <w:r w:rsidRPr="005C23F0">
        <w:rPr>
          <w:rFonts w:eastAsia="Arial"/>
          <w:b/>
          <w:bCs/>
          <w:lang w:eastAsia="zh-CN"/>
        </w:rPr>
        <w:t xml:space="preserve"> may not be the worst case and</w:t>
      </w:r>
      <w:r>
        <w:rPr>
          <w:rFonts w:eastAsia="Arial"/>
          <w:b/>
          <w:bCs/>
          <w:lang w:eastAsia="zh-CN"/>
        </w:rPr>
        <w:t>,</w:t>
      </w:r>
      <w:r w:rsidRPr="005C23F0">
        <w:rPr>
          <w:rFonts w:eastAsia="Arial"/>
          <w:b/>
          <w:bCs/>
          <w:lang w:eastAsia="zh-CN"/>
        </w:rPr>
        <w:t xml:space="preserve"> at cell edge, where MPR reduction is beneficial, full allocation is unlikely.</w:t>
      </w:r>
    </w:p>
    <w:p w14:paraId="26ED7E00" w14:textId="77777777" w:rsidR="00574379" w:rsidRDefault="00574379" w:rsidP="00574379">
      <w:pPr>
        <w:pStyle w:val="ListParagraph"/>
        <w:numPr>
          <w:ilvl w:val="0"/>
          <w:numId w:val="43"/>
        </w:numPr>
        <w:spacing w:after="0"/>
        <w:ind w:firstLineChars="0"/>
        <w:rPr>
          <w:rFonts w:eastAsia="Arial"/>
          <w:b/>
          <w:bCs/>
          <w:lang w:eastAsia="zh-CN"/>
        </w:rPr>
      </w:pPr>
      <w:r>
        <w:rPr>
          <w:rFonts w:eastAsia="Arial"/>
          <w:b/>
          <w:bCs/>
          <w:lang w:eastAsia="zh-CN"/>
        </w:rPr>
        <w:t>PC2 and PC1.5 have more stringent SEM requirements (3dB and 6dB respectively) thus 1RB0 cases should be further verified for HPUE.</w:t>
      </w:r>
    </w:p>
    <w:p w14:paraId="59C1B254" w14:textId="6EAE7243" w:rsidR="0010786A" w:rsidRDefault="0010786A" w:rsidP="006E3CD7">
      <w:pPr>
        <w:spacing w:after="0"/>
        <w:rPr>
          <w:rFonts w:eastAsia="Arial"/>
          <w:b/>
          <w:bCs/>
          <w:lang w:eastAsia="zh-CN"/>
        </w:rPr>
      </w:pPr>
    </w:p>
    <w:p w14:paraId="35626E40" w14:textId="4852F7E3" w:rsidR="0010786A" w:rsidRPr="0010786A" w:rsidRDefault="0010786A" w:rsidP="006E3CD7">
      <w:pPr>
        <w:spacing w:after="0"/>
        <w:rPr>
          <w:rFonts w:eastAsia="Arial"/>
          <w:lang w:eastAsia="zh-CN"/>
        </w:rPr>
      </w:pPr>
      <w:r w:rsidRPr="0010786A">
        <w:rPr>
          <w:rFonts w:eastAsia="Arial"/>
          <w:lang w:eastAsia="zh-CN"/>
        </w:rPr>
        <w:lastRenderedPageBreak/>
        <w:t>A limited set of PC2 20MHz cases were verified</w:t>
      </w:r>
      <w:r>
        <w:rPr>
          <w:rFonts w:eastAsia="Arial"/>
          <w:lang w:eastAsia="zh-CN"/>
        </w:rPr>
        <w:t xml:space="preserve"> based on the NRB based extension proposed</w:t>
      </w:r>
      <w:r w:rsidRPr="0010786A">
        <w:rPr>
          <w:rFonts w:eastAsia="Arial"/>
          <w:lang w:eastAsia="zh-CN"/>
        </w:rPr>
        <w:t xml:space="preserve"> with the following observations and conclusions</w:t>
      </w:r>
      <w:r>
        <w:rPr>
          <w:rFonts w:eastAsia="Arial"/>
          <w:lang w:eastAsia="zh-CN"/>
        </w:rPr>
        <w:t>.</w:t>
      </w:r>
    </w:p>
    <w:p w14:paraId="0077123F" w14:textId="77777777" w:rsidR="0010786A" w:rsidRDefault="0010786A" w:rsidP="006E3CD7">
      <w:pPr>
        <w:spacing w:after="0"/>
        <w:rPr>
          <w:rFonts w:eastAsia="Arial"/>
          <w:b/>
          <w:bCs/>
          <w:lang w:eastAsia="zh-CN"/>
        </w:rPr>
      </w:pPr>
    </w:p>
    <w:p w14:paraId="157A27CA" w14:textId="77777777" w:rsidR="0010786A" w:rsidRPr="00C31AC3" w:rsidRDefault="0010786A" w:rsidP="0010786A">
      <w:pPr>
        <w:pStyle w:val="00BodyText"/>
        <w:spacing w:after="0"/>
        <w:rPr>
          <w:rFonts w:ascii="Times New Roman" w:eastAsiaTheme="minorEastAsia" w:hAnsi="Times New Roman"/>
          <w:b/>
          <w:bCs/>
          <w:sz w:val="20"/>
          <w:lang w:eastAsia="en-GB"/>
        </w:rPr>
      </w:pPr>
      <w:r w:rsidRPr="00C31AC3">
        <w:rPr>
          <w:rFonts w:ascii="Times New Roman" w:eastAsiaTheme="minorEastAsia" w:hAnsi="Times New Roman"/>
          <w:b/>
          <w:bCs/>
          <w:sz w:val="20"/>
          <w:lang w:eastAsia="en-GB"/>
        </w:rPr>
        <w:t>Observations:</w:t>
      </w:r>
    </w:p>
    <w:p w14:paraId="0A5539BE" w14:textId="77777777" w:rsidR="0010786A" w:rsidRDefault="0010786A" w:rsidP="0010786A">
      <w:pPr>
        <w:pStyle w:val="00BodyText"/>
        <w:numPr>
          <w:ilvl w:val="0"/>
          <w:numId w:val="47"/>
        </w:numPr>
        <w:spacing w:after="0"/>
        <w:rPr>
          <w:rFonts w:ascii="Times New Roman" w:eastAsiaTheme="minorEastAsia" w:hAnsi="Times New Roman"/>
          <w:b/>
          <w:bCs/>
          <w:sz w:val="20"/>
          <w:lang w:eastAsia="en-GB"/>
        </w:rPr>
      </w:pPr>
      <w:r>
        <w:rPr>
          <w:rFonts w:ascii="Times New Roman" w:eastAsiaTheme="minorEastAsia" w:hAnsi="Times New Roman"/>
          <w:b/>
          <w:bCs/>
          <w:sz w:val="20"/>
          <w:lang w:eastAsia="en-GB"/>
        </w:rPr>
        <w:t xml:space="preserve">All the OOBE are passed for the extended bandwidth ACLR, SEM and SE with the marginal cases being for full allocation. </w:t>
      </w:r>
    </w:p>
    <w:p w14:paraId="0294DAD6" w14:textId="77777777" w:rsidR="0010786A" w:rsidRDefault="0010786A" w:rsidP="0010786A">
      <w:pPr>
        <w:pStyle w:val="00BodyText"/>
        <w:numPr>
          <w:ilvl w:val="0"/>
          <w:numId w:val="47"/>
        </w:numPr>
        <w:spacing w:after="0"/>
        <w:rPr>
          <w:rFonts w:ascii="Times New Roman" w:eastAsiaTheme="minorEastAsia" w:hAnsi="Times New Roman"/>
          <w:b/>
          <w:bCs/>
          <w:sz w:val="20"/>
          <w:lang w:eastAsia="en-GB"/>
        </w:rPr>
      </w:pPr>
      <w:r w:rsidRPr="00C31AC3">
        <w:rPr>
          <w:rFonts w:ascii="Times New Roman" w:eastAsiaTheme="minorEastAsia" w:hAnsi="Times New Roman"/>
          <w:b/>
          <w:bCs/>
          <w:sz w:val="20"/>
          <w:lang w:eastAsia="en-GB"/>
        </w:rPr>
        <w:t>As expected</w:t>
      </w:r>
      <w:r>
        <w:rPr>
          <w:rFonts w:ascii="Times New Roman" w:eastAsiaTheme="minorEastAsia" w:hAnsi="Times New Roman"/>
          <w:b/>
          <w:bCs/>
          <w:sz w:val="20"/>
          <w:lang w:eastAsia="en-GB"/>
        </w:rPr>
        <w:t>, most the outer allocations fail the initial UE ACLR or SEM or SE</w:t>
      </w:r>
    </w:p>
    <w:p w14:paraId="239BE8AF" w14:textId="77777777" w:rsidR="0010786A" w:rsidRDefault="0010786A" w:rsidP="0010786A">
      <w:pPr>
        <w:pStyle w:val="00BodyText"/>
        <w:numPr>
          <w:ilvl w:val="0"/>
          <w:numId w:val="47"/>
        </w:numPr>
        <w:spacing w:after="0"/>
        <w:rPr>
          <w:rFonts w:ascii="Times New Roman" w:eastAsiaTheme="minorEastAsia" w:hAnsi="Times New Roman"/>
          <w:b/>
          <w:bCs/>
          <w:sz w:val="20"/>
          <w:lang w:eastAsia="en-GB"/>
        </w:rPr>
      </w:pPr>
      <w:r>
        <w:rPr>
          <w:rFonts w:ascii="Times New Roman" w:eastAsiaTheme="minorEastAsia" w:hAnsi="Times New Roman"/>
          <w:b/>
          <w:bCs/>
          <w:sz w:val="20"/>
          <w:lang w:eastAsia="en-GB"/>
        </w:rPr>
        <w:t xml:space="preserve">The yellow allocations that can be turned into inner with </w:t>
      </w:r>
      <w:proofErr w:type="gramStart"/>
      <w:r>
        <w:rPr>
          <w:rFonts w:ascii="Times New Roman" w:eastAsiaTheme="minorEastAsia" w:hAnsi="Times New Roman"/>
          <w:b/>
          <w:bCs/>
          <w:sz w:val="20"/>
          <w:lang w:eastAsia="en-GB"/>
        </w:rPr>
        <w:t>ceil(</w:t>
      </w:r>
      <w:proofErr w:type="gramEnd"/>
      <w:r>
        <w:rPr>
          <w:rFonts w:ascii="Times New Roman" w:eastAsiaTheme="minorEastAsia" w:hAnsi="Times New Roman"/>
          <w:b/>
          <w:bCs/>
          <w:sz w:val="20"/>
          <w:lang w:eastAsia="en-GB"/>
        </w:rPr>
        <w:t>NRB/2) extension on the lower side pass the initial UE ACLR/SEM/SE on the upper side and the extended ACLR/SEM/SE on the lower side. Thus, they are confirmed for MPR reduction.</w:t>
      </w:r>
    </w:p>
    <w:p w14:paraId="2F3A4A1C" w14:textId="77777777" w:rsidR="0010786A" w:rsidRDefault="0010786A" w:rsidP="0010786A">
      <w:pPr>
        <w:pStyle w:val="00BodyText"/>
        <w:numPr>
          <w:ilvl w:val="0"/>
          <w:numId w:val="47"/>
        </w:numPr>
        <w:spacing w:after="0"/>
        <w:rPr>
          <w:rFonts w:ascii="Times New Roman" w:eastAsiaTheme="minorEastAsia" w:hAnsi="Times New Roman"/>
          <w:b/>
          <w:bCs/>
          <w:sz w:val="20"/>
          <w:lang w:eastAsia="en-GB"/>
        </w:rPr>
      </w:pPr>
      <w:r>
        <w:rPr>
          <w:rFonts w:ascii="Times New Roman" w:eastAsiaTheme="minorEastAsia" w:hAnsi="Times New Roman"/>
          <w:b/>
          <w:bCs/>
          <w:sz w:val="20"/>
          <w:lang w:eastAsia="en-GB"/>
        </w:rPr>
        <w:t xml:space="preserve">The orange allocations that can be turned into inner with </w:t>
      </w:r>
      <w:proofErr w:type="gramStart"/>
      <w:r>
        <w:rPr>
          <w:rFonts w:ascii="Times New Roman" w:eastAsiaTheme="minorEastAsia" w:hAnsi="Times New Roman"/>
          <w:b/>
          <w:bCs/>
          <w:sz w:val="20"/>
          <w:lang w:eastAsia="en-GB"/>
        </w:rPr>
        <w:t>ceil(</w:t>
      </w:r>
      <w:proofErr w:type="gramEnd"/>
      <w:r>
        <w:rPr>
          <w:rFonts w:ascii="Times New Roman" w:eastAsiaTheme="minorEastAsia" w:hAnsi="Times New Roman"/>
          <w:b/>
          <w:bCs/>
          <w:sz w:val="20"/>
          <w:lang w:eastAsia="en-GB"/>
        </w:rPr>
        <w:t>NRB/2) extension on both sides fail the initial UE ACLR/SEM/SE but passes the extended ACLR/SEM/SE on both sides. Thus, they are confirmed for MPR reduction.</w:t>
      </w:r>
    </w:p>
    <w:p w14:paraId="6A39D80E" w14:textId="77777777" w:rsidR="0010786A" w:rsidRDefault="0010786A" w:rsidP="0010786A">
      <w:pPr>
        <w:pStyle w:val="00BodyText"/>
        <w:spacing w:after="0"/>
        <w:rPr>
          <w:rFonts w:ascii="Times New Roman" w:eastAsiaTheme="minorEastAsia" w:hAnsi="Times New Roman"/>
          <w:b/>
          <w:bCs/>
          <w:sz w:val="20"/>
          <w:lang w:eastAsia="en-GB"/>
        </w:rPr>
      </w:pPr>
    </w:p>
    <w:p w14:paraId="7456AFC3" w14:textId="1A2164D3" w:rsidR="0010786A" w:rsidRDefault="0010786A" w:rsidP="0010786A">
      <w:pPr>
        <w:pStyle w:val="00BodyText"/>
        <w:spacing w:after="0"/>
        <w:rPr>
          <w:rFonts w:ascii="Times New Roman" w:eastAsiaTheme="minorEastAsia" w:hAnsi="Times New Roman"/>
          <w:b/>
          <w:bCs/>
          <w:sz w:val="20"/>
          <w:lang w:eastAsia="en-GB"/>
        </w:rPr>
      </w:pPr>
      <w:r>
        <w:rPr>
          <w:rFonts w:ascii="Times New Roman" w:eastAsiaTheme="minorEastAsia" w:hAnsi="Times New Roman"/>
          <w:b/>
          <w:bCs/>
          <w:sz w:val="20"/>
          <w:lang w:eastAsia="en-GB"/>
        </w:rPr>
        <w:t>Conclusion</w:t>
      </w:r>
      <w:r>
        <w:rPr>
          <w:rFonts w:ascii="Times New Roman" w:eastAsiaTheme="minorEastAsia" w:hAnsi="Times New Roman"/>
          <w:b/>
          <w:bCs/>
          <w:sz w:val="20"/>
          <w:lang w:eastAsia="en-GB"/>
        </w:rPr>
        <w:t>s</w:t>
      </w:r>
      <w:r>
        <w:rPr>
          <w:rFonts w:ascii="Times New Roman" w:eastAsiaTheme="minorEastAsia" w:hAnsi="Times New Roman"/>
          <w:b/>
          <w:bCs/>
          <w:sz w:val="20"/>
          <w:lang w:eastAsia="en-GB"/>
        </w:rPr>
        <w:t xml:space="preserve">: </w:t>
      </w:r>
    </w:p>
    <w:p w14:paraId="3BE460AA" w14:textId="77777777" w:rsidR="0010786A" w:rsidRDefault="0010786A" w:rsidP="0010786A">
      <w:pPr>
        <w:pStyle w:val="00BodyText"/>
        <w:numPr>
          <w:ilvl w:val="0"/>
          <w:numId w:val="48"/>
        </w:numPr>
        <w:spacing w:after="0"/>
        <w:rPr>
          <w:rFonts w:ascii="Times New Roman" w:eastAsiaTheme="minorEastAsia" w:hAnsi="Times New Roman"/>
          <w:b/>
          <w:bCs/>
          <w:sz w:val="20"/>
          <w:lang w:eastAsia="en-GB"/>
        </w:rPr>
      </w:pPr>
      <w:r>
        <w:rPr>
          <w:rFonts w:ascii="Times New Roman" w:eastAsiaTheme="minorEastAsia" w:hAnsi="Times New Roman"/>
          <w:b/>
          <w:bCs/>
          <w:sz w:val="20"/>
          <w:lang w:eastAsia="en-GB"/>
        </w:rPr>
        <w:t>T</w:t>
      </w:r>
      <w:r>
        <w:rPr>
          <w:rFonts w:ascii="Times New Roman" w:eastAsiaTheme="minorEastAsia" w:hAnsi="Times New Roman"/>
          <w:b/>
          <w:bCs/>
          <w:sz w:val="20"/>
          <w:lang w:eastAsia="en-GB"/>
        </w:rPr>
        <w:t xml:space="preserve">he MPR reduction concept is verified for both symmetric and asymmetric </w:t>
      </w:r>
      <w:proofErr w:type="gramStart"/>
      <w:r>
        <w:rPr>
          <w:rFonts w:ascii="Times New Roman" w:eastAsiaTheme="minorEastAsia" w:hAnsi="Times New Roman"/>
          <w:b/>
          <w:bCs/>
          <w:sz w:val="20"/>
          <w:lang w:eastAsia="en-GB"/>
        </w:rPr>
        <w:t>ceil(</w:t>
      </w:r>
      <w:proofErr w:type="gramEnd"/>
      <w:r>
        <w:rPr>
          <w:rFonts w:ascii="Times New Roman" w:eastAsiaTheme="minorEastAsia" w:hAnsi="Times New Roman"/>
          <w:b/>
          <w:bCs/>
          <w:sz w:val="20"/>
          <w:lang w:eastAsia="en-GB"/>
        </w:rPr>
        <w:t xml:space="preserve">NRB/2) extension for PC2 on a 20MHz channel. It should also serve as a verification for PC3 as the ACLR is 1dB less and the SEN/SE requirement is 3dB less stringent. </w:t>
      </w:r>
    </w:p>
    <w:p w14:paraId="482280A7" w14:textId="658C9937" w:rsidR="0010786A" w:rsidRDefault="0010786A" w:rsidP="0010786A">
      <w:pPr>
        <w:pStyle w:val="00BodyText"/>
        <w:numPr>
          <w:ilvl w:val="0"/>
          <w:numId w:val="48"/>
        </w:numPr>
        <w:spacing w:after="0"/>
        <w:rPr>
          <w:rFonts w:ascii="Times New Roman" w:eastAsiaTheme="minorEastAsia" w:hAnsi="Times New Roman"/>
          <w:b/>
          <w:bCs/>
          <w:sz w:val="20"/>
          <w:lang w:eastAsia="en-GB"/>
        </w:rPr>
      </w:pPr>
      <w:r>
        <w:rPr>
          <w:rFonts w:ascii="Times New Roman" w:eastAsiaTheme="minorEastAsia" w:hAnsi="Times New Roman"/>
          <w:b/>
          <w:bCs/>
          <w:sz w:val="20"/>
          <w:lang w:eastAsia="en-GB"/>
        </w:rPr>
        <w:t>However, the PC1.5 case may require further verification as the SEM/SE margin is small for the fully allocated waveform and get a further 3dB tighter.</w:t>
      </w:r>
    </w:p>
    <w:p w14:paraId="5DDECBD7" w14:textId="090C0DBC" w:rsidR="0010786A" w:rsidRPr="00C31AC3" w:rsidRDefault="0010786A" w:rsidP="0010786A">
      <w:pPr>
        <w:pStyle w:val="00BodyText"/>
        <w:numPr>
          <w:ilvl w:val="0"/>
          <w:numId w:val="48"/>
        </w:numPr>
        <w:spacing w:after="0"/>
        <w:rPr>
          <w:rFonts w:ascii="Times New Roman" w:eastAsiaTheme="minorEastAsia" w:hAnsi="Times New Roman"/>
          <w:b/>
          <w:bCs/>
          <w:sz w:val="20"/>
          <w:lang w:eastAsia="en-GB"/>
        </w:rPr>
      </w:pPr>
      <w:proofErr w:type="gramStart"/>
      <w:r>
        <w:rPr>
          <w:rFonts w:ascii="Times New Roman" w:eastAsiaTheme="minorEastAsia" w:hAnsi="Times New Roman"/>
          <w:b/>
          <w:bCs/>
          <w:sz w:val="20"/>
          <w:lang w:eastAsia="en-GB"/>
        </w:rPr>
        <w:t>Also</w:t>
      </w:r>
      <w:proofErr w:type="gramEnd"/>
      <w:r>
        <w:rPr>
          <w:rFonts w:ascii="Times New Roman" w:eastAsiaTheme="minorEastAsia" w:hAnsi="Times New Roman"/>
          <w:b/>
          <w:bCs/>
          <w:sz w:val="20"/>
          <w:lang w:eastAsia="en-GB"/>
        </w:rPr>
        <w:t xml:space="preserve"> the flexible extension concept will require further verification especially for ACLR.</w:t>
      </w:r>
    </w:p>
    <w:p w14:paraId="6CAFD533" w14:textId="77777777" w:rsidR="0010786A" w:rsidRPr="0010786A" w:rsidRDefault="0010786A" w:rsidP="006E3CD7">
      <w:pPr>
        <w:spacing w:after="0"/>
        <w:rPr>
          <w:rFonts w:eastAsia="Arial"/>
          <w:b/>
          <w:bCs/>
          <w:lang w:val="en-US" w:eastAsia="zh-CN"/>
        </w:rPr>
      </w:pPr>
    </w:p>
    <w:p w14:paraId="55D6D37B" w14:textId="30930595" w:rsidR="006E3CD7" w:rsidRPr="00FD409D" w:rsidRDefault="006E3CD7" w:rsidP="006E3CD7">
      <w:pPr>
        <w:spacing w:after="0"/>
        <w:rPr>
          <w:rFonts w:eastAsia="Arial"/>
          <w:b/>
          <w:bCs/>
          <w:lang w:eastAsia="zh-CN"/>
        </w:rPr>
      </w:pPr>
      <w:r w:rsidRPr="00FD409D">
        <w:rPr>
          <w:rFonts w:eastAsia="Arial"/>
          <w:b/>
          <w:bCs/>
          <w:lang w:eastAsia="zh-CN"/>
        </w:rPr>
        <w:t>Proposal on NRB based extension and associated guard band:</w:t>
      </w:r>
    </w:p>
    <w:p w14:paraId="2D7BF585" w14:textId="77777777" w:rsidR="006E3CD7" w:rsidRPr="005C23F0" w:rsidRDefault="006E3CD7" w:rsidP="006E3CD7">
      <w:pPr>
        <w:pStyle w:val="ListParagraph"/>
        <w:numPr>
          <w:ilvl w:val="0"/>
          <w:numId w:val="42"/>
        </w:numPr>
        <w:spacing w:after="0"/>
        <w:ind w:firstLineChars="0"/>
        <w:rPr>
          <w:rFonts w:eastAsia="Arial"/>
          <w:b/>
          <w:bCs/>
          <w:lang w:eastAsia="zh-CN"/>
        </w:rPr>
      </w:pPr>
      <w:r w:rsidRPr="005C23F0">
        <w:rPr>
          <w:rFonts w:eastAsia="Arial"/>
          <w:b/>
          <w:bCs/>
          <w:lang w:eastAsia="zh-CN"/>
        </w:rPr>
        <w:t xml:space="preserve">The maximum bandwidth extension is based on adding </w:t>
      </w:r>
      <w:proofErr w:type="gramStart"/>
      <w:r w:rsidRPr="005C23F0">
        <w:rPr>
          <w:rFonts w:eastAsia="Arial"/>
          <w:b/>
          <w:bCs/>
          <w:lang w:eastAsia="zh-CN"/>
        </w:rPr>
        <w:t>ceil(</w:t>
      </w:r>
      <w:proofErr w:type="gramEnd"/>
      <w:r w:rsidRPr="005C23F0">
        <w:rPr>
          <w:rFonts w:eastAsia="Arial"/>
          <w:b/>
          <w:bCs/>
          <w:lang w:eastAsia="zh-CN"/>
        </w:rPr>
        <w:t>NRB/2) symmetrically or asymmetrically to the initial NRB</w:t>
      </w:r>
    </w:p>
    <w:p w14:paraId="0786AF02" w14:textId="77777777" w:rsidR="006E3CD7" w:rsidRPr="005C23F0" w:rsidRDefault="006E3CD7" w:rsidP="006E3CD7">
      <w:pPr>
        <w:pStyle w:val="ListParagraph"/>
        <w:numPr>
          <w:ilvl w:val="1"/>
          <w:numId w:val="42"/>
        </w:numPr>
        <w:spacing w:after="0"/>
        <w:ind w:firstLineChars="0"/>
        <w:rPr>
          <w:rFonts w:eastAsia="Arial"/>
          <w:b/>
          <w:bCs/>
          <w:lang w:eastAsia="zh-CN"/>
        </w:rPr>
      </w:pPr>
      <w:r w:rsidRPr="005C23F0">
        <w:rPr>
          <w:rFonts w:eastAsia="Arial"/>
          <w:b/>
          <w:bCs/>
          <w:lang w:eastAsia="zh-CN"/>
        </w:rPr>
        <w:t xml:space="preserve">A symmetrically extended BW extended NRB </w:t>
      </w:r>
      <w:r w:rsidRPr="0073023C">
        <w:rPr>
          <w:rFonts w:eastAsia="Arial"/>
          <w:b/>
          <w:bCs/>
          <w:i/>
          <w:iCs/>
          <w:lang w:eastAsia="zh-CN"/>
        </w:rPr>
        <w:t>(</w:t>
      </w:r>
      <w:proofErr w:type="spellStart"/>
      <w:r w:rsidRPr="0073023C">
        <w:rPr>
          <w:rFonts w:eastAsia="Arial"/>
          <w:b/>
          <w:bCs/>
          <w:i/>
          <w:iCs/>
          <w:lang w:eastAsia="zh-CN"/>
        </w:rPr>
        <w:t>NRBext</w:t>
      </w:r>
      <w:proofErr w:type="spellEnd"/>
      <w:r w:rsidRPr="0073023C">
        <w:rPr>
          <w:rFonts w:eastAsia="Arial"/>
          <w:b/>
          <w:bCs/>
          <w:i/>
          <w:iCs/>
          <w:lang w:eastAsia="zh-CN"/>
        </w:rPr>
        <w:t>) = NRB+2*</w:t>
      </w:r>
      <w:proofErr w:type="gramStart"/>
      <w:r w:rsidRPr="0073023C">
        <w:rPr>
          <w:rFonts w:eastAsia="Arial"/>
          <w:b/>
          <w:bCs/>
          <w:i/>
          <w:iCs/>
          <w:lang w:eastAsia="zh-CN"/>
        </w:rPr>
        <w:t>ceil(</w:t>
      </w:r>
      <w:proofErr w:type="gramEnd"/>
      <w:r w:rsidRPr="0073023C">
        <w:rPr>
          <w:rFonts w:eastAsia="Arial"/>
          <w:b/>
          <w:bCs/>
          <w:i/>
          <w:iCs/>
          <w:lang w:eastAsia="zh-CN"/>
        </w:rPr>
        <w:t>NRB/2)</w:t>
      </w:r>
    </w:p>
    <w:p w14:paraId="54F4A256" w14:textId="77777777" w:rsidR="006E3CD7" w:rsidRPr="005C23F0" w:rsidRDefault="006E3CD7" w:rsidP="006E3CD7">
      <w:pPr>
        <w:pStyle w:val="ListParagraph"/>
        <w:numPr>
          <w:ilvl w:val="1"/>
          <w:numId w:val="42"/>
        </w:numPr>
        <w:spacing w:after="0"/>
        <w:ind w:firstLineChars="0"/>
        <w:rPr>
          <w:rFonts w:eastAsia="Arial"/>
          <w:b/>
          <w:bCs/>
          <w:lang w:eastAsia="zh-CN"/>
        </w:rPr>
      </w:pPr>
      <w:r w:rsidRPr="005C23F0">
        <w:rPr>
          <w:rFonts w:eastAsia="Arial"/>
          <w:b/>
          <w:bCs/>
          <w:lang w:eastAsia="zh-CN"/>
        </w:rPr>
        <w:t xml:space="preserve">An </w:t>
      </w:r>
      <w:r>
        <w:rPr>
          <w:rFonts w:eastAsia="Arial"/>
          <w:b/>
          <w:bCs/>
          <w:lang w:eastAsia="zh-CN"/>
        </w:rPr>
        <w:t>a</w:t>
      </w:r>
      <w:r w:rsidRPr="005C23F0">
        <w:rPr>
          <w:rFonts w:eastAsia="Arial"/>
          <w:b/>
          <w:bCs/>
          <w:lang w:eastAsia="zh-CN"/>
        </w:rPr>
        <w:t xml:space="preserve">symmetrically extended BW extended NRB </w:t>
      </w:r>
      <w:r w:rsidRPr="0073023C">
        <w:rPr>
          <w:rFonts w:eastAsia="Arial"/>
          <w:b/>
          <w:bCs/>
          <w:i/>
          <w:iCs/>
          <w:lang w:eastAsia="zh-CN"/>
        </w:rPr>
        <w:t>(</w:t>
      </w:r>
      <w:proofErr w:type="spellStart"/>
      <w:r w:rsidRPr="0073023C">
        <w:rPr>
          <w:rFonts w:eastAsia="Arial"/>
          <w:b/>
          <w:bCs/>
          <w:i/>
          <w:iCs/>
          <w:lang w:eastAsia="zh-CN"/>
        </w:rPr>
        <w:t>NRBext</w:t>
      </w:r>
      <w:proofErr w:type="spellEnd"/>
      <w:r w:rsidRPr="0073023C">
        <w:rPr>
          <w:rFonts w:eastAsia="Arial"/>
          <w:b/>
          <w:bCs/>
          <w:i/>
          <w:iCs/>
          <w:lang w:eastAsia="zh-CN"/>
        </w:rPr>
        <w:t>) = NRB+2*</w:t>
      </w:r>
      <w:proofErr w:type="gramStart"/>
      <w:r w:rsidRPr="0073023C">
        <w:rPr>
          <w:rFonts w:eastAsia="Arial"/>
          <w:b/>
          <w:bCs/>
          <w:i/>
          <w:iCs/>
          <w:lang w:eastAsia="zh-CN"/>
        </w:rPr>
        <w:t>ceil(</w:t>
      </w:r>
      <w:proofErr w:type="gramEnd"/>
      <w:r w:rsidRPr="0073023C">
        <w:rPr>
          <w:rFonts w:eastAsia="Arial"/>
          <w:b/>
          <w:bCs/>
          <w:i/>
          <w:iCs/>
          <w:lang w:eastAsia="zh-CN"/>
        </w:rPr>
        <w:t>NRB/2)</w:t>
      </w:r>
    </w:p>
    <w:p w14:paraId="4804A970" w14:textId="77777777" w:rsidR="006E3CD7" w:rsidRPr="005C23F0" w:rsidRDefault="006E3CD7" w:rsidP="006E3CD7">
      <w:pPr>
        <w:pStyle w:val="ListParagraph"/>
        <w:numPr>
          <w:ilvl w:val="0"/>
          <w:numId w:val="42"/>
        </w:numPr>
        <w:spacing w:after="0"/>
        <w:ind w:firstLineChars="0"/>
        <w:rPr>
          <w:rFonts w:eastAsia="Arial"/>
          <w:b/>
          <w:bCs/>
          <w:lang w:eastAsia="zh-CN"/>
        </w:rPr>
      </w:pPr>
      <w:r w:rsidRPr="005C23F0">
        <w:rPr>
          <w:rFonts w:eastAsia="Arial"/>
          <w:b/>
          <w:bCs/>
          <w:lang w:eastAsia="zh-CN"/>
        </w:rPr>
        <w:t xml:space="preserve">The extended RB BW </w:t>
      </w:r>
      <w:proofErr w:type="spellStart"/>
      <w:r w:rsidRPr="0073023C">
        <w:rPr>
          <w:rFonts w:eastAsia="Arial"/>
          <w:b/>
          <w:bCs/>
          <w:i/>
          <w:iCs/>
          <w:lang w:eastAsia="zh-CN"/>
        </w:rPr>
        <w:t>NRBex</w:t>
      </w:r>
      <w:r w:rsidRPr="005C23F0">
        <w:rPr>
          <w:rFonts w:eastAsia="Arial"/>
          <w:b/>
          <w:bCs/>
          <w:lang w:eastAsia="zh-CN"/>
        </w:rPr>
        <w:t>t</w:t>
      </w:r>
      <w:proofErr w:type="spellEnd"/>
      <w:r w:rsidRPr="005C23F0">
        <w:rPr>
          <w:rFonts w:eastAsia="Arial"/>
          <w:b/>
          <w:bCs/>
          <w:lang w:eastAsia="zh-CN"/>
        </w:rPr>
        <w:t xml:space="preserve"> inherit</w:t>
      </w:r>
      <w:r>
        <w:rPr>
          <w:rFonts w:eastAsia="Arial"/>
          <w:b/>
          <w:bCs/>
          <w:lang w:eastAsia="zh-CN"/>
        </w:rPr>
        <w:t>s</w:t>
      </w:r>
      <w:r w:rsidRPr="005C23F0">
        <w:rPr>
          <w:rFonts w:eastAsia="Arial"/>
          <w:b/>
          <w:bCs/>
          <w:lang w:eastAsia="zh-CN"/>
        </w:rPr>
        <w:t xml:space="preserve"> the guard-bands (</w:t>
      </w:r>
      <w:proofErr w:type="spellStart"/>
      <w:r w:rsidRPr="0073023C">
        <w:rPr>
          <w:rFonts w:eastAsia="Arial"/>
          <w:b/>
          <w:bCs/>
          <w:i/>
          <w:iCs/>
          <w:lang w:eastAsia="zh-CN"/>
        </w:rPr>
        <w:t>GBext</w:t>
      </w:r>
      <w:proofErr w:type="spellEnd"/>
      <w:r w:rsidRPr="005C23F0">
        <w:rPr>
          <w:rFonts w:eastAsia="Arial"/>
          <w:b/>
          <w:bCs/>
          <w:lang w:eastAsia="zh-CN"/>
        </w:rPr>
        <w:t xml:space="preserve">) from the next corresponding existing higher CBW that uses the next higher NRB versus </w:t>
      </w:r>
      <w:proofErr w:type="spellStart"/>
      <w:r w:rsidRPr="005C23F0">
        <w:rPr>
          <w:rFonts w:eastAsia="Arial"/>
          <w:b/>
          <w:bCs/>
          <w:lang w:eastAsia="zh-CN"/>
        </w:rPr>
        <w:t>NRBext</w:t>
      </w:r>
      <w:proofErr w:type="spellEnd"/>
      <w:r w:rsidRPr="005C23F0">
        <w:rPr>
          <w:rFonts w:eastAsia="Arial"/>
          <w:b/>
          <w:bCs/>
          <w:lang w:eastAsia="zh-CN"/>
        </w:rPr>
        <w:t xml:space="preserve">. </w:t>
      </w:r>
    </w:p>
    <w:p w14:paraId="75E5129D" w14:textId="77777777" w:rsidR="006E3CD7" w:rsidRPr="0073023C" w:rsidRDefault="006E3CD7" w:rsidP="006E3CD7">
      <w:pPr>
        <w:pStyle w:val="ListParagraph"/>
        <w:numPr>
          <w:ilvl w:val="1"/>
          <w:numId w:val="42"/>
        </w:numPr>
        <w:spacing w:after="0"/>
        <w:ind w:firstLineChars="0"/>
        <w:rPr>
          <w:rFonts w:eastAsia="Arial"/>
          <w:b/>
          <w:bCs/>
          <w:i/>
          <w:iCs/>
          <w:lang w:eastAsia="zh-CN"/>
        </w:rPr>
      </w:pPr>
      <w:r w:rsidRPr="005C23F0">
        <w:rPr>
          <w:rFonts w:eastAsia="Arial"/>
          <w:b/>
          <w:bCs/>
          <w:lang w:eastAsia="zh-CN"/>
        </w:rPr>
        <w:t xml:space="preserve">Thus, the extended BW </w:t>
      </w:r>
      <w:proofErr w:type="spellStart"/>
      <w:r w:rsidRPr="0073023C">
        <w:rPr>
          <w:rFonts w:eastAsia="Arial"/>
          <w:b/>
          <w:bCs/>
          <w:i/>
          <w:iCs/>
          <w:lang w:eastAsia="zh-CN"/>
        </w:rPr>
        <w:t>BWext</w:t>
      </w:r>
      <w:proofErr w:type="spellEnd"/>
      <w:r w:rsidRPr="0073023C">
        <w:rPr>
          <w:rFonts w:eastAsia="Arial"/>
          <w:b/>
          <w:bCs/>
          <w:i/>
          <w:iCs/>
          <w:lang w:eastAsia="zh-CN"/>
        </w:rPr>
        <w:t>=</w:t>
      </w:r>
      <w:proofErr w:type="spellStart"/>
      <w:r w:rsidRPr="0073023C">
        <w:rPr>
          <w:rFonts w:eastAsia="Arial"/>
          <w:b/>
          <w:bCs/>
          <w:i/>
          <w:iCs/>
          <w:lang w:eastAsia="zh-CN"/>
        </w:rPr>
        <w:t>NRBext</w:t>
      </w:r>
      <w:proofErr w:type="spellEnd"/>
      <w:r w:rsidRPr="0073023C">
        <w:rPr>
          <w:rFonts w:eastAsia="Arial"/>
          <w:b/>
          <w:bCs/>
          <w:i/>
          <w:iCs/>
          <w:lang w:eastAsia="zh-CN"/>
        </w:rPr>
        <w:t>*12*SCS+2*G</w:t>
      </w:r>
      <w:r>
        <w:rPr>
          <w:rFonts w:eastAsia="Arial"/>
          <w:b/>
          <w:bCs/>
          <w:i/>
          <w:iCs/>
          <w:lang w:eastAsia="zh-CN"/>
        </w:rPr>
        <w:t>B</w:t>
      </w:r>
      <w:r w:rsidRPr="0073023C">
        <w:rPr>
          <w:rFonts w:eastAsia="Arial"/>
          <w:b/>
          <w:bCs/>
          <w:i/>
          <w:iCs/>
          <w:lang w:eastAsia="zh-CN"/>
        </w:rPr>
        <w:t>ext+1*SCS</w:t>
      </w:r>
    </w:p>
    <w:p w14:paraId="70080492" w14:textId="77777777" w:rsidR="006E3CD7" w:rsidRPr="005C23F0" w:rsidRDefault="006E3CD7" w:rsidP="006E3CD7">
      <w:pPr>
        <w:pStyle w:val="ListParagraph"/>
        <w:numPr>
          <w:ilvl w:val="0"/>
          <w:numId w:val="42"/>
        </w:numPr>
        <w:spacing w:after="0"/>
        <w:ind w:firstLineChars="0"/>
        <w:rPr>
          <w:rFonts w:eastAsia="Arial"/>
          <w:b/>
          <w:bCs/>
          <w:lang w:eastAsia="zh-CN"/>
        </w:rPr>
      </w:pPr>
      <w:r w:rsidRPr="005C23F0">
        <w:rPr>
          <w:rFonts w:eastAsia="Arial"/>
          <w:b/>
          <w:bCs/>
          <w:lang w:eastAsia="zh-CN"/>
        </w:rPr>
        <w:t>For 15kHz SCS extended NRB&gt;270, the guard-band uses the corresponding 30KHz CBW&gt;50MHz.</w:t>
      </w:r>
    </w:p>
    <w:p w14:paraId="7EA458D6" w14:textId="77777777" w:rsidR="006E3CD7" w:rsidRPr="005C23F0" w:rsidRDefault="006E3CD7" w:rsidP="006E3CD7">
      <w:pPr>
        <w:pStyle w:val="ListParagraph"/>
        <w:numPr>
          <w:ilvl w:val="0"/>
          <w:numId w:val="42"/>
        </w:numPr>
        <w:spacing w:after="0"/>
        <w:ind w:firstLineChars="0"/>
        <w:rPr>
          <w:rFonts w:eastAsia="Arial"/>
          <w:b/>
          <w:bCs/>
          <w:lang w:eastAsia="zh-CN"/>
        </w:rPr>
      </w:pPr>
      <w:r w:rsidRPr="005C23F0">
        <w:rPr>
          <w:rFonts w:eastAsia="Arial"/>
          <w:b/>
          <w:bCs/>
          <w:lang w:eastAsia="zh-CN"/>
        </w:rPr>
        <w:t>For 30kHz SCS extended NRB&gt;273, the 100MHz guard band is used since this is what is applied in CA.</w:t>
      </w:r>
    </w:p>
    <w:p w14:paraId="01F0F711" w14:textId="77777777" w:rsidR="006E3CD7" w:rsidRDefault="006E3CD7" w:rsidP="006E3CD7">
      <w:pPr>
        <w:pStyle w:val="ListParagraph"/>
        <w:numPr>
          <w:ilvl w:val="1"/>
          <w:numId w:val="42"/>
        </w:numPr>
        <w:spacing w:after="0"/>
        <w:ind w:firstLineChars="0"/>
        <w:rPr>
          <w:rFonts w:eastAsia="Arial"/>
          <w:b/>
          <w:bCs/>
          <w:lang w:eastAsia="zh-CN"/>
        </w:rPr>
      </w:pPr>
      <w:r w:rsidRPr="005C23F0">
        <w:rPr>
          <w:rFonts w:eastAsia="Arial"/>
          <w:b/>
          <w:bCs/>
          <w:lang w:eastAsia="zh-CN"/>
        </w:rPr>
        <w:t>It should be noted that the minimum guard-band reduces from 70MH</w:t>
      </w:r>
      <w:r>
        <w:rPr>
          <w:rFonts w:eastAsia="Arial"/>
          <w:b/>
          <w:bCs/>
          <w:lang w:eastAsia="zh-CN"/>
        </w:rPr>
        <w:t>z</w:t>
      </w:r>
      <w:r w:rsidRPr="005C23F0">
        <w:rPr>
          <w:rFonts w:eastAsia="Arial"/>
          <w:b/>
          <w:bCs/>
          <w:lang w:eastAsia="zh-CN"/>
        </w:rPr>
        <w:t xml:space="preserve"> to 100MHz</w:t>
      </w:r>
      <w:r>
        <w:rPr>
          <w:rFonts w:eastAsia="Arial"/>
          <w:b/>
          <w:bCs/>
          <w:lang w:eastAsia="zh-CN"/>
        </w:rPr>
        <w:t>,</w:t>
      </w:r>
      <w:r w:rsidRPr="005C23F0">
        <w:rPr>
          <w:rFonts w:eastAsia="Arial"/>
          <w:b/>
          <w:bCs/>
          <w:lang w:eastAsia="zh-CN"/>
        </w:rPr>
        <w:t xml:space="preserve"> thus the 100MHz guard band is sa</w:t>
      </w:r>
      <w:r>
        <w:rPr>
          <w:rFonts w:eastAsia="Arial"/>
          <w:b/>
          <w:bCs/>
          <w:lang w:eastAsia="zh-CN"/>
        </w:rPr>
        <w:t>f</w:t>
      </w:r>
      <w:r w:rsidRPr="005C23F0">
        <w:rPr>
          <w:rFonts w:eastAsia="Arial"/>
          <w:b/>
          <w:bCs/>
          <w:lang w:eastAsia="zh-CN"/>
        </w:rPr>
        <w:t xml:space="preserve">e for </w:t>
      </w:r>
      <w:proofErr w:type="spellStart"/>
      <w:r w:rsidRPr="0073023C">
        <w:rPr>
          <w:rFonts w:eastAsia="Arial"/>
          <w:b/>
          <w:bCs/>
          <w:i/>
          <w:iCs/>
          <w:lang w:eastAsia="zh-CN"/>
        </w:rPr>
        <w:t>BWext</w:t>
      </w:r>
      <w:proofErr w:type="spellEnd"/>
      <w:r w:rsidRPr="005C23F0">
        <w:rPr>
          <w:rFonts w:eastAsia="Arial"/>
          <w:b/>
          <w:bCs/>
          <w:lang w:eastAsia="zh-CN"/>
        </w:rPr>
        <w:t>&gt;100MHz and is the guard band associated with contiguous CA using 100MHz CBW and nominal channel spacing.</w:t>
      </w:r>
    </w:p>
    <w:p w14:paraId="1442FB41" w14:textId="77777777" w:rsidR="006E3CD7" w:rsidRDefault="006E3CD7" w:rsidP="006E3CD7">
      <w:pPr>
        <w:pStyle w:val="ListParagraph"/>
        <w:numPr>
          <w:ilvl w:val="1"/>
          <w:numId w:val="42"/>
        </w:numPr>
        <w:spacing w:after="0"/>
        <w:ind w:firstLineChars="0"/>
        <w:rPr>
          <w:rFonts w:eastAsia="Arial"/>
          <w:b/>
          <w:bCs/>
          <w:lang w:eastAsia="zh-CN"/>
        </w:rPr>
      </w:pPr>
      <w:r>
        <w:rPr>
          <w:rFonts w:eastAsia="Arial"/>
          <w:b/>
          <w:bCs/>
          <w:lang w:eastAsia="zh-CN"/>
        </w:rPr>
        <w:t>This enables extended bandwidths for channels that are part of contiguous channels in CA or collocated channels that are SCS aligned.</w:t>
      </w:r>
    </w:p>
    <w:p w14:paraId="68ADA94E" w14:textId="77777777" w:rsidR="006E3CD7" w:rsidRDefault="006E3CD7" w:rsidP="006E3CD7">
      <w:pPr>
        <w:pStyle w:val="ListParagraph"/>
        <w:numPr>
          <w:ilvl w:val="0"/>
          <w:numId w:val="42"/>
        </w:numPr>
        <w:spacing w:after="0"/>
        <w:ind w:firstLineChars="0"/>
        <w:rPr>
          <w:rFonts w:eastAsia="Arial"/>
          <w:b/>
          <w:bCs/>
          <w:lang w:eastAsia="zh-CN"/>
        </w:rPr>
      </w:pPr>
      <w:r>
        <w:rPr>
          <w:rFonts w:eastAsia="Arial"/>
          <w:b/>
          <w:bCs/>
          <w:lang w:eastAsia="zh-CN"/>
        </w:rPr>
        <w:t>Based on this worst-case guard-band approach we propose that RAN4 studies whether the extended BW emissions can be guaranteed by only measuring the existing CBW supported in the band.</w:t>
      </w:r>
    </w:p>
    <w:p w14:paraId="69450B1F" w14:textId="77777777" w:rsidR="006E3CD7" w:rsidRPr="00C96E0E" w:rsidRDefault="006E3CD7" w:rsidP="006E3CD7">
      <w:pPr>
        <w:pStyle w:val="ListParagraph"/>
        <w:numPr>
          <w:ilvl w:val="0"/>
          <w:numId w:val="42"/>
        </w:numPr>
        <w:spacing w:after="0"/>
        <w:ind w:firstLineChars="0"/>
        <w:rPr>
          <w:rFonts w:eastAsia="Arial"/>
          <w:b/>
          <w:bCs/>
          <w:lang w:eastAsia="zh-CN"/>
        </w:rPr>
      </w:pPr>
      <w:r w:rsidRPr="005C23F0">
        <w:rPr>
          <w:rFonts w:eastAsiaTheme="minorEastAsia"/>
          <w:b/>
          <w:bCs/>
          <w:lang w:val="en-US"/>
        </w:rPr>
        <w:t xml:space="preserve">In all cases, it is the BS responsibility to ensure </w:t>
      </w:r>
      <w:r>
        <w:rPr>
          <w:rFonts w:eastAsiaTheme="minorEastAsia"/>
          <w:b/>
          <w:bCs/>
          <w:lang w:val="en-US"/>
        </w:rPr>
        <w:t xml:space="preserve">that </w:t>
      </w:r>
      <w:r w:rsidRPr="005C23F0">
        <w:rPr>
          <w:rFonts w:eastAsiaTheme="minorEastAsia"/>
          <w:b/>
          <w:bCs/>
          <w:lang w:val="en-US"/>
        </w:rPr>
        <w:t>the RB extension enables the use of the extended guard</w:t>
      </w:r>
      <w:r>
        <w:rPr>
          <w:rFonts w:eastAsiaTheme="minorEastAsia"/>
          <w:b/>
          <w:bCs/>
          <w:lang w:val="en-US"/>
        </w:rPr>
        <w:t xml:space="preserve"> </w:t>
      </w:r>
      <w:r w:rsidRPr="005C23F0">
        <w:rPr>
          <w:rFonts w:eastAsiaTheme="minorEastAsia"/>
          <w:b/>
          <w:bCs/>
          <w:lang w:val="en-US"/>
        </w:rPr>
        <w:t xml:space="preserve">band to define the out of band emissions based on </w:t>
      </w:r>
      <w:proofErr w:type="spellStart"/>
      <w:r w:rsidRPr="0073023C">
        <w:rPr>
          <w:rFonts w:eastAsiaTheme="minorEastAsia"/>
          <w:b/>
          <w:bCs/>
          <w:i/>
          <w:iCs/>
          <w:lang w:val="en-US"/>
        </w:rPr>
        <w:t>BWext</w:t>
      </w:r>
      <w:proofErr w:type="spellEnd"/>
      <w:r w:rsidRPr="005C23F0">
        <w:rPr>
          <w:rFonts w:eastAsiaTheme="minorEastAsia"/>
          <w:b/>
          <w:bCs/>
          <w:lang w:val="en-US"/>
        </w:rPr>
        <w:t xml:space="preserve"> and initial CBW based OOBE regions.</w:t>
      </w:r>
    </w:p>
    <w:p w14:paraId="56CB763A" w14:textId="18C892C9" w:rsidR="00B35A63" w:rsidRPr="00C96E0E" w:rsidRDefault="006E3CD7" w:rsidP="006E3CD7">
      <w:pPr>
        <w:pStyle w:val="ListParagraph"/>
        <w:numPr>
          <w:ilvl w:val="1"/>
          <w:numId w:val="42"/>
        </w:numPr>
        <w:overflowPunct/>
        <w:autoSpaceDE/>
        <w:autoSpaceDN/>
        <w:adjustRightInd/>
        <w:spacing w:after="0"/>
        <w:ind w:firstLineChars="0"/>
        <w:textAlignment w:val="auto"/>
        <w:rPr>
          <w:rFonts w:eastAsiaTheme="minorEastAsia"/>
          <w:b/>
          <w:bCs/>
          <w:lang w:val="en-US"/>
        </w:rPr>
      </w:pPr>
      <w:r>
        <w:rPr>
          <w:rFonts w:eastAsiaTheme="minorEastAsia"/>
          <w:b/>
          <w:bCs/>
          <w:lang w:val="en-US"/>
        </w:rPr>
        <w:t>In cases where a nearby band needs to be protected by the UE, the BS ensures that the RB extension and corresponding guard band is set in accordance with the protected band region by making sure that the protected band is within the spurious emission range (-30dBm/MHz) of the extended BW OOBE region</w:t>
      </w:r>
      <w:r w:rsidR="00B35A63">
        <w:rPr>
          <w:rFonts w:eastAsiaTheme="minorEastAsia"/>
          <w:b/>
          <w:bCs/>
          <w:lang w:val="en-US"/>
        </w:rPr>
        <w:t>.</w:t>
      </w:r>
    </w:p>
    <w:p w14:paraId="0D4502D3" w14:textId="77777777" w:rsidR="00B35A63" w:rsidRDefault="00B35A63" w:rsidP="00B35A63">
      <w:pPr>
        <w:spacing w:after="0"/>
        <w:rPr>
          <w:rFonts w:eastAsia="Arial"/>
          <w:b/>
          <w:bCs/>
          <w:lang w:val="en-US" w:eastAsia="zh-CN"/>
        </w:rPr>
      </w:pPr>
    </w:p>
    <w:p w14:paraId="0E7F3046" w14:textId="77777777" w:rsidR="00556E3A" w:rsidRPr="00FD409D" w:rsidRDefault="00556E3A" w:rsidP="00556E3A">
      <w:pPr>
        <w:spacing w:after="0"/>
        <w:rPr>
          <w:rFonts w:eastAsia="Arial"/>
          <w:b/>
          <w:bCs/>
          <w:lang w:eastAsia="zh-CN"/>
        </w:rPr>
      </w:pPr>
      <w:r w:rsidRPr="00FD409D">
        <w:rPr>
          <w:rFonts w:eastAsia="Arial"/>
          <w:b/>
          <w:bCs/>
          <w:lang w:eastAsia="zh-CN"/>
        </w:rPr>
        <w:t xml:space="preserve">Proposal </w:t>
      </w:r>
      <w:r>
        <w:rPr>
          <w:rFonts w:eastAsia="Arial"/>
          <w:b/>
          <w:bCs/>
          <w:lang w:eastAsia="zh-CN"/>
        </w:rPr>
        <w:t xml:space="preserve">on </w:t>
      </w:r>
      <w:r w:rsidRPr="00FD409D">
        <w:rPr>
          <w:rFonts w:eastAsia="Arial"/>
          <w:b/>
          <w:bCs/>
          <w:lang w:eastAsia="zh-CN"/>
        </w:rPr>
        <w:t>associated guard band</w:t>
      </w:r>
      <w:r>
        <w:rPr>
          <w:rFonts w:eastAsia="Arial"/>
          <w:b/>
          <w:bCs/>
          <w:lang w:eastAsia="zh-CN"/>
        </w:rPr>
        <w:t xml:space="preserve"> for flexible</w:t>
      </w:r>
      <w:r w:rsidRPr="00FD409D">
        <w:rPr>
          <w:rFonts w:eastAsia="Arial"/>
          <w:b/>
          <w:bCs/>
          <w:lang w:eastAsia="zh-CN"/>
        </w:rPr>
        <w:t xml:space="preserve"> NRB</w:t>
      </w:r>
      <w:r>
        <w:rPr>
          <w:rFonts w:eastAsia="Arial"/>
          <w:b/>
          <w:bCs/>
          <w:lang w:eastAsia="zh-CN"/>
        </w:rPr>
        <w:t>-</w:t>
      </w:r>
      <w:r w:rsidRPr="00FD409D">
        <w:rPr>
          <w:rFonts w:eastAsia="Arial"/>
          <w:b/>
          <w:bCs/>
          <w:lang w:eastAsia="zh-CN"/>
        </w:rPr>
        <w:t>based extension</w:t>
      </w:r>
      <w:r>
        <w:rPr>
          <w:rFonts w:eastAsia="Arial"/>
          <w:b/>
          <w:bCs/>
          <w:lang w:eastAsia="zh-CN"/>
        </w:rPr>
        <w:t>.</w:t>
      </w:r>
      <w:r w:rsidRPr="00FD409D">
        <w:rPr>
          <w:rFonts w:eastAsia="Arial"/>
          <w:b/>
          <w:bCs/>
          <w:lang w:eastAsia="zh-CN"/>
        </w:rPr>
        <w:t xml:space="preserve"> </w:t>
      </w:r>
    </w:p>
    <w:p w14:paraId="406BA241" w14:textId="77777777" w:rsidR="00556E3A" w:rsidRDefault="00556E3A" w:rsidP="00556E3A">
      <w:pPr>
        <w:pStyle w:val="ListParagraph"/>
        <w:numPr>
          <w:ilvl w:val="0"/>
          <w:numId w:val="42"/>
        </w:numPr>
        <w:spacing w:after="0"/>
        <w:ind w:firstLineChars="0"/>
        <w:rPr>
          <w:rFonts w:eastAsia="Arial"/>
          <w:b/>
          <w:bCs/>
          <w:i/>
          <w:iCs/>
          <w:lang w:eastAsia="zh-CN"/>
        </w:rPr>
      </w:pPr>
      <w:r>
        <w:rPr>
          <w:rFonts w:eastAsia="Arial"/>
          <w:b/>
          <w:bCs/>
          <w:lang w:eastAsia="zh-CN"/>
        </w:rPr>
        <w:t xml:space="preserve">Similarly to the </w:t>
      </w:r>
      <w:proofErr w:type="gramStart"/>
      <w:r>
        <w:rPr>
          <w:rFonts w:eastAsia="Arial"/>
          <w:b/>
          <w:bCs/>
          <w:lang w:eastAsia="zh-CN"/>
        </w:rPr>
        <w:t>ceil(</w:t>
      </w:r>
      <w:proofErr w:type="gramEnd"/>
      <w:r>
        <w:rPr>
          <w:rFonts w:eastAsia="Arial"/>
          <w:b/>
          <w:bCs/>
          <w:lang w:eastAsia="zh-CN"/>
        </w:rPr>
        <w:t>NRB/2) extension, the guard band mapping for the fractional NRB extension can inherit the guard band</w:t>
      </w:r>
      <w:r w:rsidRPr="005C23F0">
        <w:rPr>
          <w:rFonts w:eastAsia="Arial"/>
          <w:b/>
          <w:bCs/>
          <w:lang w:eastAsia="zh-CN"/>
        </w:rPr>
        <w:t xml:space="preserve"> from the next corresponding existing higher CBW that uses the next higher NRB versus </w:t>
      </w:r>
      <w:proofErr w:type="spellStart"/>
      <w:r w:rsidRPr="005C23F0">
        <w:rPr>
          <w:rFonts w:eastAsia="Arial"/>
          <w:b/>
          <w:bCs/>
          <w:lang w:eastAsia="zh-CN"/>
        </w:rPr>
        <w:t>NRBext</w:t>
      </w:r>
      <w:proofErr w:type="spellEnd"/>
      <w:r>
        <w:rPr>
          <w:rFonts w:eastAsia="Arial"/>
          <w:b/>
          <w:bCs/>
          <w:lang w:eastAsia="zh-CN"/>
        </w:rPr>
        <w:t xml:space="preserve"> where </w:t>
      </w:r>
      <w:proofErr w:type="spellStart"/>
      <w:r w:rsidRPr="00F87BDA">
        <w:rPr>
          <w:rFonts w:eastAsia="Arial"/>
          <w:b/>
          <w:bCs/>
          <w:i/>
          <w:iCs/>
          <w:lang w:eastAsia="zh-CN"/>
        </w:rPr>
        <w:t>NRBext</w:t>
      </w:r>
      <w:proofErr w:type="spellEnd"/>
      <w:r w:rsidRPr="00F87BDA">
        <w:rPr>
          <w:rFonts w:eastAsia="Arial"/>
          <w:b/>
          <w:bCs/>
          <w:i/>
          <w:iCs/>
          <w:lang w:eastAsia="zh-CN"/>
        </w:rPr>
        <w:t>=</w:t>
      </w:r>
      <w:proofErr w:type="spellStart"/>
      <w:r w:rsidRPr="00F87BDA">
        <w:rPr>
          <w:rFonts w:eastAsia="Arial"/>
          <w:b/>
          <w:bCs/>
          <w:i/>
          <w:iCs/>
          <w:lang w:eastAsia="zh-CN"/>
        </w:rPr>
        <w:t>NRB_UE+</w:t>
      </w:r>
      <w:r>
        <w:rPr>
          <w:rFonts w:eastAsia="Arial"/>
          <w:b/>
          <w:bCs/>
          <w:i/>
          <w:iCs/>
          <w:lang w:eastAsia="zh-CN"/>
        </w:rPr>
        <w:t>ceil</w:t>
      </w:r>
      <w:proofErr w:type="spellEnd"/>
      <w:r>
        <w:rPr>
          <w:rFonts w:eastAsia="Arial"/>
          <w:b/>
          <w:bCs/>
          <w:i/>
          <w:iCs/>
          <w:lang w:eastAsia="zh-CN"/>
        </w:rPr>
        <w:t>(KL*NRB/14)+ceil(KL*NRB_UE/14) with:</w:t>
      </w:r>
    </w:p>
    <w:p w14:paraId="7C3C739F" w14:textId="77777777" w:rsidR="00556E3A" w:rsidRDefault="00556E3A" w:rsidP="00556E3A">
      <w:pPr>
        <w:pStyle w:val="ListParagraph"/>
        <w:numPr>
          <w:ilvl w:val="1"/>
          <w:numId w:val="42"/>
        </w:numPr>
        <w:spacing w:after="0"/>
        <w:ind w:firstLineChars="0"/>
        <w:rPr>
          <w:rFonts w:eastAsia="Arial"/>
          <w:b/>
          <w:bCs/>
          <w:i/>
          <w:iCs/>
          <w:lang w:eastAsia="zh-CN"/>
        </w:rPr>
      </w:pPr>
      <w:r>
        <w:rPr>
          <w:rFonts w:eastAsia="Arial"/>
          <w:b/>
          <w:bCs/>
          <w:i/>
          <w:iCs/>
          <w:lang w:eastAsia="zh-CN"/>
        </w:rPr>
        <w:t xml:space="preserve">KL and KH being an integer from 0 to 7 coded on 3bit </w:t>
      </w:r>
      <w:proofErr w:type="gramStart"/>
      <w:r>
        <w:rPr>
          <w:rFonts w:eastAsia="Arial"/>
          <w:b/>
          <w:bCs/>
          <w:i/>
          <w:iCs/>
          <w:lang w:eastAsia="zh-CN"/>
        </w:rPr>
        <w:t>each</w:t>
      </w:r>
      <w:proofErr w:type="gramEnd"/>
    </w:p>
    <w:p w14:paraId="362C9D10" w14:textId="77777777" w:rsidR="00556E3A" w:rsidRDefault="00556E3A" w:rsidP="00556E3A">
      <w:pPr>
        <w:pStyle w:val="ListParagraph"/>
        <w:numPr>
          <w:ilvl w:val="1"/>
          <w:numId w:val="42"/>
        </w:numPr>
        <w:spacing w:after="0"/>
        <w:ind w:firstLineChars="0"/>
        <w:rPr>
          <w:rFonts w:eastAsia="Arial"/>
          <w:b/>
          <w:bCs/>
          <w:i/>
          <w:iCs/>
          <w:lang w:eastAsia="zh-CN"/>
        </w:rPr>
      </w:pPr>
      <w:r>
        <w:rPr>
          <w:rFonts w:eastAsia="Arial"/>
          <w:b/>
          <w:bCs/>
          <w:i/>
          <w:iCs/>
          <w:lang w:eastAsia="zh-CN"/>
        </w:rPr>
        <w:t>KL being the fractional NRB extension on the lower side of NRB_UE</w:t>
      </w:r>
    </w:p>
    <w:p w14:paraId="689243DB" w14:textId="77777777" w:rsidR="00556E3A" w:rsidRDefault="00556E3A" w:rsidP="00556E3A">
      <w:pPr>
        <w:pStyle w:val="ListParagraph"/>
        <w:numPr>
          <w:ilvl w:val="1"/>
          <w:numId w:val="42"/>
        </w:numPr>
        <w:spacing w:after="0"/>
        <w:ind w:firstLineChars="0"/>
        <w:rPr>
          <w:rFonts w:eastAsia="Arial"/>
          <w:b/>
          <w:bCs/>
          <w:i/>
          <w:iCs/>
          <w:lang w:eastAsia="zh-CN"/>
        </w:rPr>
      </w:pPr>
      <w:r>
        <w:rPr>
          <w:rFonts w:eastAsia="Arial"/>
          <w:b/>
          <w:bCs/>
          <w:i/>
          <w:iCs/>
          <w:lang w:eastAsia="zh-CN"/>
        </w:rPr>
        <w:t>KH being the fractional NRB extension on the upper side of NRB_UE</w:t>
      </w:r>
    </w:p>
    <w:p w14:paraId="54DB0FDC" w14:textId="6DD2DE64" w:rsidR="00B35A63" w:rsidRPr="00556E3A" w:rsidRDefault="00556E3A" w:rsidP="00556E3A">
      <w:pPr>
        <w:pStyle w:val="ListParagraph"/>
        <w:numPr>
          <w:ilvl w:val="0"/>
          <w:numId w:val="42"/>
        </w:numPr>
        <w:spacing w:after="0"/>
        <w:ind w:firstLineChars="0"/>
        <w:rPr>
          <w:rFonts w:eastAsia="Arial"/>
          <w:b/>
          <w:bCs/>
          <w:lang w:eastAsia="zh-CN"/>
        </w:rPr>
      </w:pPr>
      <w:r w:rsidRPr="0073023C">
        <w:rPr>
          <w:rFonts w:eastAsia="Arial"/>
          <w:b/>
          <w:bCs/>
          <w:lang w:eastAsia="zh-CN"/>
        </w:rPr>
        <w:t>This is the generalisation</w:t>
      </w:r>
      <w:r>
        <w:rPr>
          <w:rFonts w:eastAsia="Arial"/>
          <w:b/>
          <w:bCs/>
          <w:lang w:eastAsia="zh-CN"/>
        </w:rPr>
        <w:t xml:space="preserve"> of the proposal for the NRB/2 extension</w:t>
      </w:r>
      <w:r w:rsidR="00B35A63" w:rsidRPr="00556E3A">
        <w:rPr>
          <w:rFonts w:eastAsia="Arial"/>
          <w:b/>
          <w:bCs/>
          <w:lang w:eastAsia="zh-CN"/>
        </w:rPr>
        <w:t>.</w:t>
      </w:r>
    </w:p>
    <w:p w14:paraId="560B9A4D" w14:textId="77777777" w:rsidR="00B35A63" w:rsidRPr="00B35A63" w:rsidRDefault="00B35A63" w:rsidP="00B35A63">
      <w:pPr>
        <w:spacing w:after="0"/>
        <w:rPr>
          <w:rFonts w:eastAsia="Arial"/>
          <w:b/>
          <w:bCs/>
          <w:lang w:eastAsia="zh-CN"/>
        </w:rPr>
      </w:pPr>
    </w:p>
    <w:p w14:paraId="3D5B8B85" w14:textId="77777777" w:rsidR="00E7084E" w:rsidRPr="00D123BD" w:rsidRDefault="00E7084E" w:rsidP="00E7084E">
      <w:pPr>
        <w:widowControl w:val="0"/>
        <w:spacing w:after="0"/>
        <w:rPr>
          <w:rFonts w:eastAsiaTheme="minorEastAsia"/>
          <w:b/>
          <w:lang w:eastAsia="zh-CN"/>
        </w:rPr>
      </w:pPr>
      <w:r w:rsidRPr="00D123BD">
        <w:rPr>
          <w:rFonts w:eastAsiaTheme="minorEastAsia"/>
          <w:b/>
          <w:lang w:eastAsia="zh-CN"/>
        </w:rPr>
        <w:t>Proposal on RB extension</w:t>
      </w:r>
      <w:r>
        <w:rPr>
          <w:rFonts w:eastAsiaTheme="minorEastAsia"/>
          <w:b/>
          <w:lang w:eastAsia="zh-CN"/>
        </w:rPr>
        <w:t xml:space="preserve"> signalling</w:t>
      </w:r>
      <w:r w:rsidRPr="00D123BD">
        <w:rPr>
          <w:rFonts w:eastAsiaTheme="minorEastAsia"/>
          <w:b/>
          <w:lang w:eastAsia="zh-CN"/>
        </w:rPr>
        <w:t>:</w:t>
      </w:r>
    </w:p>
    <w:p w14:paraId="7C0449D9" w14:textId="5F27847C" w:rsidR="00E7084E" w:rsidRPr="00D123BD" w:rsidRDefault="00E7084E" w:rsidP="00E7084E">
      <w:pPr>
        <w:pStyle w:val="ListParagraph"/>
        <w:widowControl w:val="0"/>
        <w:numPr>
          <w:ilvl w:val="0"/>
          <w:numId w:val="31"/>
        </w:numPr>
        <w:spacing w:after="0"/>
        <w:ind w:firstLineChars="0"/>
        <w:rPr>
          <w:rFonts w:eastAsiaTheme="minorEastAsia"/>
          <w:b/>
          <w:lang w:eastAsia="zh-CN"/>
        </w:rPr>
      </w:pPr>
      <w:r w:rsidRPr="00D123BD">
        <w:rPr>
          <w:rFonts w:eastAsiaTheme="minorEastAsia"/>
          <w:b/>
          <w:lang w:eastAsia="zh-CN"/>
        </w:rPr>
        <w:t>Bandwidth extension</w:t>
      </w:r>
      <w:r>
        <w:rPr>
          <w:rFonts w:eastAsiaTheme="minorEastAsia"/>
          <w:b/>
          <w:lang w:eastAsia="zh-CN"/>
        </w:rPr>
        <w:t>s</w:t>
      </w:r>
      <w:r w:rsidRPr="00D123BD">
        <w:rPr>
          <w:rFonts w:eastAsiaTheme="minorEastAsia"/>
          <w:b/>
          <w:lang w:eastAsia="zh-CN"/>
        </w:rPr>
        <w:t xml:space="preserve"> </w:t>
      </w:r>
      <w:r>
        <w:rPr>
          <w:rFonts w:eastAsiaTheme="minorEastAsia"/>
          <w:b/>
          <w:lang w:eastAsia="zh-CN"/>
        </w:rPr>
        <w:t>are</w:t>
      </w:r>
      <w:r w:rsidRPr="00D123BD">
        <w:rPr>
          <w:rFonts w:eastAsiaTheme="minorEastAsia"/>
          <w:b/>
          <w:lang w:eastAsia="zh-CN"/>
        </w:rPr>
        <w:t xml:space="preserve"> signalled by the BS to the UE with the lower </w:t>
      </w:r>
      <w:r>
        <w:rPr>
          <w:rFonts w:eastAsiaTheme="minorEastAsia"/>
          <w:b/>
          <w:lang w:eastAsia="zh-CN"/>
        </w:rPr>
        <w:t xml:space="preserve">side </w:t>
      </w:r>
      <w:r w:rsidRPr="00D123BD">
        <w:rPr>
          <w:rFonts w:eastAsiaTheme="minorEastAsia"/>
          <w:b/>
          <w:lang w:eastAsia="zh-CN"/>
        </w:rPr>
        <w:t>and higher</w:t>
      </w:r>
      <w:r>
        <w:rPr>
          <w:rFonts w:eastAsiaTheme="minorEastAsia"/>
          <w:b/>
          <w:lang w:eastAsia="zh-CN"/>
        </w:rPr>
        <w:t xml:space="preserve"> side</w:t>
      </w:r>
      <w:r w:rsidRPr="00D123BD">
        <w:rPr>
          <w:rFonts w:eastAsiaTheme="minorEastAsia"/>
          <w:b/>
          <w:lang w:eastAsia="zh-CN"/>
        </w:rPr>
        <w:t xml:space="preserve"> RB extensions</w:t>
      </w:r>
      <w:r>
        <w:rPr>
          <w:rFonts w:eastAsiaTheme="minorEastAsia"/>
          <w:b/>
          <w:lang w:eastAsia="zh-CN"/>
        </w:rPr>
        <w:t xml:space="preserve"> expressed as</w:t>
      </w:r>
      <w:r w:rsidRPr="00D123BD">
        <w:rPr>
          <w:rFonts w:eastAsiaTheme="minorEastAsia"/>
          <w:b/>
          <w:lang w:eastAsia="zh-CN"/>
        </w:rPr>
        <w:t xml:space="preserve">: </w:t>
      </w:r>
      <w:proofErr w:type="spellStart"/>
      <w:r w:rsidRPr="00C104F0">
        <w:rPr>
          <w:rFonts w:eastAsiaTheme="minorEastAsia"/>
          <w:b/>
          <w:i/>
          <w:iCs/>
          <w:lang w:eastAsia="zh-CN"/>
        </w:rPr>
        <w:t>RBextL</w:t>
      </w:r>
      <w:proofErr w:type="spellEnd"/>
      <w:r w:rsidRPr="00D123BD">
        <w:rPr>
          <w:rFonts w:eastAsiaTheme="minorEastAsia"/>
          <w:b/>
          <w:lang w:eastAsia="zh-CN"/>
        </w:rPr>
        <w:t xml:space="preserve"> and </w:t>
      </w:r>
      <w:proofErr w:type="spellStart"/>
      <w:r w:rsidRPr="00C104F0">
        <w:rPr>
          <w:rFonts w:eastAsiaTheme="minorEastAsia"/>
          <w:b/>
          <w:i/>
          <w:iCs/>
          <w:lang w:eastAsia="zh-CN"/>
        </w:rPr>
        <w:t>RBextH</w:t>
      </w:r>
      <w:proofErr w:type="spellEnd"/>
      <w:r>
        <w:rPr>
          <w:rFonts w:eastAsiaTheme="minorEastAsia"/>
          <w:b/>
          <w:i/>
          <w:iCs/>
          <w:lang w:eastAsia="zh-CN"/>
        </w:rPr>
        <w:t xml:space="preserve"> </w:t>
      </w:r>
      <w:r w:rsidRPr="004C03EC">
        <w:rPr>
          <w:rFonts w:eastAsiaTheme="minorEastAsia"/>
          <w:b/>
          <w:lang w:eastAsia="zh-CN"/>
        </w:rPr>
        <w:t>in fractions of the NRB of the initial UE CBW</w:t>
      </w:r>
      <w:r>
        <w:rPr>
          <w:rFonts w:eastAsiaTheme="minorEastAsia"/>
          <w:b/>
          <w:lang w:eastAsia="zh-CN"/>
        </w:rPr>
        <w:t xml:space="preserve"> </w:t>
      </w:r>
      <w:r w:rsidRPr="004C03EC">
        <w:rPr>
          <w:rFonts w:eastAsiaTheme="minorEastAsia"/>
          <w:b/>
          <w:i/>
          <w:iCs/>
          <w:lang w:eastAsia="zh-CN"/>
        </w:rPr>
        <w:t>NRB_UE</w:t>
      </w:r>
      <w:r w:rsidRPr="00E7084E">
        <w:rPr>
          <w:rFonts w:eastAsiaTheme="minorEastAsia"/>
          <w:b/>
          <w:lang w:eastAsia="zh-CN"/>
        </w:rPr>
        <w:t xml:space="preserve"> </w:t>
      </w:r>
      <w:r>
        <w:rPr>
          <w:rFonts w:eastAsiaTheme="minorEastAsia"/>
          <w:b/>
          <w:lang w:eastAsia="zh-CN"/>
        </w:rPr>
        <w:t>using 3bits per side.</w:t>
      </w:r>
    </w:p>
    <w:p w14:paraId="4B92168C" w14:textId="77777777" w:rsidR="00E7084E" w:rsidRDefault="00E7084E" w:rsidP="00E7084E">
      <w:pPr>
        <w:pStyle w:val="ListParagraph"/>
        <w:widowControl w:val="0"/>
        <w:numPr>
          <w:ilvl w:val="0"/>
          <w:numId w:val="31"/>
        </w:numPr>
        <w:spacing w:after="0"/>
        <w:ind w:firstLineChars="0"/>
        <w:rPr>
          <w:rFonts w:eastAsiaTheme="minorEastAsia"/>
          <w:b/>
          <w:lang w:eastAsia="zh-CN"/>
        </w:rPr>
      </w:pPr>
      <w:r w:rsidRPr="00D123BD">
        <w:rPr>
          <w:rFonts w:eastAsiaTheme="minorEastAsia"/>
          <w:b/>
          <w:lang w:eastAsia="zh-CN"/>
        </w:rPr>
        <w:t xml:space="preserve">Maximum </w:t>
      </w:r>
      <w:proofErr w:type="spellStart"/>
      <w:r w:rsidRPr="00C104F0">
        <w:rPr>
          <w:rFonts w:eastAsiaTheme="minorEastAsia"/>
          <w:b/>
          <w:i/>
          <w:iCs/>
          <w:lang w:eastAsia="zh-CN"/>
        </w:rPr>
        <w:t>RBextL</w:t>
      </w:r>
      <w:proofErr w:type="spellEnd"/>
      <w:r w:rsidRPr="00D123BD">
        <w:rPr>
          <w:rFonts w:eastAsiaTheme="minorEastAsia"/>
          <w:b/>
          <w:lang w:eastAsia="zh-CN"/>
        </w:rPr>
        <w:t xml:space="preserve"> and </w:t>
      </w:r>
      <w:proofErr w:type="spellStart"/>
      <w:r w:rsidRPr="00C104F0">
        <w:rPr>
          <w:rFonts w:eastAsiaTheme="minorEastAsia"/>
          <w:b/>
          <w:i/>
          <w:iCs/>
          <w:lang w:eastAsia="zh-CN"/>
        </w:rPr>
        <w:t>RBextH</w:t>
      </w:r>
      <w:proofErr w:type="spellEnd"/>
      <w:r w:rsidRPr="00C104F0">
        <w:rPr>
          <w:rFonts w:eastAsiaTheme="minorEastAsia"/>
          <w:b/>
          <w:i/>
          <w:iCs/>
          <w:lang w:eastAsia="zh-CN"/>
        </w:rPr>
        <w:t xml:space="preserve"> </w:t>
      </w:r>
      <w:r w:rsidRPr="00D123BD">
        <w:rPr>
          <w:rFonts w:eastAsiaTheme="minorEastAsia"/>
          <w:b/>
          <w:lang w:eastAsia="zh-CN"/>
        </w:rPr>
        <w:t xml:space="preserve">is </w:t>
      </w:r>
      <w:r w:rsidRPr="00C104F0">
        <w:rPr>
          <w:rFonts w:eastAsiaTheme="minorEastAsia"/>
          <w:b/>
          <w:i/>
          <w:iCs/>
          <w:lang w:eastAsia="zh-CN"/>
        </w:rPr>
        <w:t>NRB_UE</w:t>
      </w:r>
      <w:r w:rsidRPr="00D123BD">
        <w:rPr>
          <w:rFonts w:eastAsiaTheme="minorEastAsia"/>
          <w:b/>
          <w:lang w:eastAsia="zh-CN"/>
        </w:rPr>
        <w:t>/2</w:t>
      </w:r>
      <w:r>
        <w:rPr>
          <w:rFonts w:eastAsiaTheme="minorEastAsia"/>
          <w:b/>
          <w:lang w:eastAsia="zh-CN"/>
        </w:rPr>
        <w:t>,</w:t>
      </w:r>
      <w:r w:rsidRPr="00D123BD">
        <w:rPr>
          <w:rFonts w:eastAsiaTheme="minorEastAsia"/>
          <w:b/>
          <w:lang w:eastAsia="zh-CN"/>
        </w:rPr>
        <w:t xml:space="preserve"> and thus for the BS</w:t>
      </w:r>
      <w:r>
        <w:rPr>
          <w:rFonts w:eastAsiaTheme="minorEastAsia"/>
          <w:b/>
          <w:lang w:eastAsia="zh-CN"/>
        </w:rPr>
        <w:t>,</w:t>
      </w:r>
      <w:r w:rsidRPr="00D123BD">
        <w:rPr>
          <w:rFonts w:eastAsiaTheme="minorEastAsia"/>
          <w:b/>
          <w:lang w:eastAsia="zh-CN"/>
        </w:rPr>
        <w:t xml:space="preserve"> </w:t>
      </w:r>
      <w:r>
        <w:rPr>
          <w:rFonts w:eastAsiaTheme="minorEastAsia"/>
          <w:b/>
          <w:lang w:eastAsia="zh-CN"/>
        </w:rPr>
        <w:t>this</w:t>
      </w:r>
      <w:r w:rsidRPr="00D123BD">
        <w:rPr>
          <w:rFonts w:eastAsiaTheme="minorEastAsia"/>
          <w:b/>
          <w:lang w:eastAsia="zh-CN"/>
        </w:rPr>
        <w:t xml:space="preserve"> is </w:t>
      </w:r>
      <w:r w:rsidRPr="00C104F0">
        <w:rPr>
          <w:rFonts w:eastAsiaTheme="minorEastAsia"/>
          <w:b/>
          <w:i/>
          <w:iCs/>
          <w:lang w:eastAsia="zh-CN"/>
        </w:rPr>
        <w:t>NRB</w:t>
      </w:r>
      <w:r w:rsidRPr="00D123BD">
        <w:rPr>
          <w:rFonts w:eastAsiaTheme="minorEastAsia"/>
          <w:b/>
          <w:lang w:eastAsia="zh-CN"/>
        </w:rPr>
        <w:t>/2 of the largest supported UE CBW</w:t>
      </w:r>
      <w:r>
        <w:rPr>
          <w:rFonts w:eastAsiaTheme="minorEastAsia"/>
          <w:b/>
          <w:lang w:eastAsia="zh-CN"/>
        </w:rPr>
        <w:t xml:space="preserve"> in the band</w:t>
      </w:r>
      <w:r w:rsidRPr="00D123BD">
        <w:rPr>
          <w:rFonts w:eastAsiaTheme="minorEastAsia"/>
          <w:b/>
          <w:lang w:eastAsia="zh-CN"/>
        </w:rPr>
        <w:t>.</w:t>
      </w:r>
    </w:p>
    <w:p w14:paraId="3E77D77F" w14:textId="77777777" w:rsidR="00E7084E" w:rsidRPr="00C50F58" w:rsidRDefault="00E7084E" w:rsidP="00E7084E">
      <w:pPr>
        <w:pStyle w:val="ListParagraph"/>
        <w:widowControl w:val="0"/>
        <w:numPr>
          <w:ilvl w:val="0"/>
          <w:numId w:val="31"/>
        </w:numPr>
        <w:spacing w:after="0"/>
        <w:ind w:firstLineChars="0"/>
        <w:rPr>
          <w:rFonts w:eastAsiaTheme="minorEastAsia"/>
          <w:b/>
          <w:lang w:eastAsia="zh-CN"/>
        </w:rPr>
      </w:pPr>
      <w:r>
        <w:rPr>
          <w:rFonts w:eastAsiaTheme="minorEastAsia"/>
          <w:b/>
          <w:lang w:eastAsia="zh-CN"/>
        </w:rPr>
        <w:t xml:space="preserve">The height possible extensions per side are of </w:t>
      </w:r>
      <w:r w:rsidRPr="00C50F58">
        <w:rPr>
          <w:rFonts w:eastAsiaTheme="minorEastAsia"/>
          <w:b/>
          <w:i/>
          <w:iCs/>
          <w:lang w:eastAsia="zh-CN"/>
        </w:rPr>
        <w:t>ceil</w:t>
      </w:r>
      <w:r>
        <w:rPr>
          <w:rFonts w:eastAsiaTheme="minorEastAsia"/>
          <w:b/>
          <w:lang w:eastAsia="zh-CN"/>
        </w:rPr>
        <w:t>(</w:t>
      </w:r>
      <w:r w:rsidRPr="00C50F58">
        <w:rPr>
          <w:rFonts w:eastAsiaTheme="minorEastAsia"/>
          <w:b/>
          <w:i/>
          <w:iCs/>
          <w:lang w:eastAsia="zh-CN"/>
        </w:rPr>
        <w:t>K*NRB_UE/14</w:t>
      </w:r>
      <w:r>
        <w:rPr>
          <w:rFonts w:eastAsiaTheme="minorEastAsia"/>
          <w:b/>
          <w:i/>
          <w:iCs/>
          <w:lang w:eastAsia="zh-CN"/>
        </w:rPr>
        <w:t>)</w:t>
      </w:r>
      <w:r>
        <w:rPr>
          <w:rFonts w:eastAsiaTheme="minorEastAsia"/>
          <w:b/>
          <w:lang w:eastAsia="zh-CN"/>
        </w:rPr>
        <w:t xml:space="preserve"> with K=0 to 7 signalled with 3bits per </w:t>
      </w:r>
      <w:proofErr w:type="spellStart"/>
      <w:r w:rsidRPr="00C104F0">
        <w:rPr>
          <w:rFonts w:eastAsiaTheme="minorEastAsia"/>
          <w:b/>
          <w:i/>
          <w:iCs/>
          <w:lang w:eastAsia="zh-CN"/>
        </w:rPr>
        <w:t>RBextL</w:t>
      </w:r>
      <w:proofErr w:type="spellEnd"/>
      <w:r w:rsidRPr="00D123BD">
        <w:rPr>
          <w:rFonts w:eastAsiaTheme="minorEastAsia"/>
          <w:b/>
          <w:lang w:eastAsia="zh-CN"/>
        </w:rPr>
        <w:t xml:space="preserve"> and </w:t>
      </w:r>
      <w:proofErr w:type="spellStart"/>
      <w:r w:rsidRPr="00C104F0">
        <w:rPr>
          <w:rFonts w:eastAsiaTheme="minorEastAsia"/>
          <w:b/>
          <w:i/>
          <w:iCs/>
          <w:lang w:eastAsia="zh-CN"/>
        </w:rPr>
        <w:t>RBext</w:t>
      </w:r>
      <w:r>
        <w:rPr>
          <w:rFonts w:eastAsiaTheme="minorEastAsia"/>
          <w:b/>
          <w:i/>
          <w:iCs/>
          <w:lang w:eastAsia="zh-CN"/>
        </w:rPr>
        <w:t>H</w:t>
      </w:r>
      <w:proofErr w:type="spellEnd"/>
    </w:p>
    <w:p w14:paraId="1692E66D" w14:textId="77777777" w:rsidR="00E7084E" w:rsidRDefault="00E7084E" w:rsidP="00E7084E">
      <w:pPr>
        <w:pStyle w:val="ListParagraph"/>
        <w:widowControl w:val="0"/>
        <w:numPr>
          <w:ilvl w:val="1"/>
          <w:numId w:val="31"/>
        </w:numPr>
        <w:spacing w:after="0"/>
        <w:ind w:firstLineChars="0"/>
        <w:rPr>
          <w:rFonts w:eastAsiaTheme="minorEastAsia"/>
          <w:b/>
          <w:lang w:eastAsia="zh-CN"/>
        </w:rPr>
      </w:pPr>
      <w:r>
        <w:rPr>
          <w:rFonts w:eastAsiaTheme="minorEastAsia"/>
          <w:b/>
          <w:lang w:eastAsia="zh-CN"/>
        </w:rPr>
        <w:t xml:space="preserve">No extension is signalled with </w:t>
      </w:r>
      <w:proofErr w:type="gramStart"/>
      <w:r>
        <w:rPr>
          <w:rFonts w:eastAsiaTheme="minorEastAsia"/>
          <w:b/>
          <w:lang w:eastAsia="zh-CN"/>
        </w:rPr>
        <w:t>000</w:t>
      </w:r>
      <w:proofErr w:type="gramEnd"/>
    </w:p>
    <w:p w14:paraId="1C9E9B6C" w14:textId="77777777" w:rsidR="00E7084E" w:rsidRPr="00C50F58" w:rsidRDefault="00E7084E" w:rsidP="00E7084E">
      <w:pPr>
        <w:pStyle w:val="ListParagraph"/>
        <w:widowControl w:val="0"/>
        <w:numPr>
          <w:ilvl w:val="1"/>
          <w:numId w:val="31"/>
        </w:numPr>
        <w:spacing w:after="0"/>
        <w:ind w:firstLineChars="0"/>
        <w:rPr>
          <w:rFonts w:eastAsiaTheme="minorEastAsia"/>
          <w:b/>
          <w:lang w:eastAsia="zh-CN"/>
        </w:rPr>
      </w:pPr>
      <w:proofErr w:type="gramStart"/>
      <w:r>
        <w:rPr>
          <w:rFonts w:eastAsiaTheme="minorEastAsia"/>
          <w:b/>
          <w:lang w:eastAsia="zh-CN"/>
        </w:rPr>
        <w:t>Ceil(</w:t>
      </w:r>
      <w:proofErr w:type="gramEnd"/>
      <w:r>
        <w:rPr>
          <w:rFonts w:eastAsiaTheme="minorEastAsia"/>
          <w:b/>
          <w:lang w:eastAsia="zh-CN"/>
        </w:rPr>
        <w:t>NRB/2) extensions is signalled with 111</w:t>
      </w:r>
    </w:p>
    <w:p w14:paraId="0BBD3E14" w14:textId="77777777" w:rsidR="00E7084E" w:rsidRPr="00D123BD" w:rsidRDefault="00E7084E" w:rsidP="00E7084E">
      <w:pPr>
        <w:pStyle w:val="ListParagraph"/>
        <w:widowControl w:val="0"/>
        <w:numPr>
          <w:ilvl w:val="0"/>
          <w:numId w:val="31"/>
        </w:numPr>
        <w:spacing w:after="0"/>
        <w:ind w:firstLineChars="0"/>
        <w:rPr>
          <w:rFonts w:eastAsiaTheme="minorEastAsia"/>
          <w:b/>
          <w:lang w:eastAsia="zh-CN"/>
        </w:rPr>
      </w:pPr>
      <w:r w:rsidRPr="00D123BD">
        <w:rPr>
          <w:rFonts w:eastAsiaTheme="minorEastAsia"/>
          <w:b/>
          <w:lang w:eastAsia="zh-CN"/>
        </w:rPr>
        <w:t>Inner and outer allocation can be redefined by the UE using the existing inner/outer allocation equations where:</w:t>
      </w:r>
    </w:p>
    <w:p w14:paraId="76032F73" w14:textId="77777777" w:rsidR="00E7084E" w:rsidRPr="00D123BD" w:rsidRDefault="00E7084E" w:rsidP="00E7084E">
      <w:pPr>
        <w:pStyle w:val="ListParagraph"/>
        <w:widowControl w:val="0"/>
        <w:numPr>
          <w:ilvl w:val="1"/>
          <w:numId w:val="31"/>
        </w:numPr>
        <w:spacing w:after="0"/>
        <w:ind w:firstLineChars="0"/>
        <w:rPr>
          <w:rFonts w:eastAsiaTheme="minorEastAsia"/>
          <w:b/>
          <w:lang w:eastAsia="zh-CN"/>
        </w:rPr>
      </w:pPr>
      <w:r w:rsidRPr="00C104F0">
        <w:rPr>
          <w:rFonts w:eastAsiaTheme="minorEastAsia"/>
          <w:b/>
          <w:i/>
          <w:iCs/>
          <w:lang w:eastAsia="zh-CN"/>
        </w:rPr>
        <w:t>NRB</w:t>
      </w:r>
      <w:r>
        <w:rPr>
          <w:rFonts w:eastAsiaTheme="minorEastAsia"/>
          <w:b/>
          <w:i/>
          <w:iCs/>
          <w:lang w:eastAsia="zh-CN"/>
        </w:rPr>
        <w:t xml:space="preserve"> </w:t>
      </w:r>
      <w:r w:rsidRPr="00C50F58">
        <w:rPr>
          <w:rFonts w:eastAsiaTheme="minorEastAsia"/>
          <w:b/>
          <w:lang w:eastAsia="zh-CN"/>
        </w:rPr>
        <w:t>in the inner equations of TS 38.101-1 clause .2.2</w:t>
      </w:r>
      <w:r>
        <w:rPr>
          <w:rFonts w:eastAsiaTheme="minorEastAsia"/>
          <w:b/>
          <w:i/>
          <w:iCs/>
          <w:lang w:eastAsia="zh-CN"/>
        </w:rPr>
        <w:t xml:space="preserve"> </w:t>
      </w:r>
      <w:r w:rsidRPr="00D123BD">
        <w:rPr>
          <w:rFonts w:eastAsiaTheme="minorEastAsia"/>
          <w:b/>
          <w:lang w:eastAsia="zh-CN"/>
        </w:rPr>
        <w:t xml:space="preserve">is replaced by </w:t>
      </w:r>
      <w:proofErr w:type="spellStart"/>
      <w:r w:rsidRPr="00C104F0">
        <w:rPr>
          <w:rFonts w:eastAsiaTheme="minorEastAsia"/>
          <w:b/>
          <w:i/>
          <w:iCs/>
          <w:lang w:eastAsia="zh-CN"/>
        </w:rPr>
        <w:t>NRB</w:t>
      </w:r>
      <w:r>
        <w:rPr>
          <w:rFonts w:eastAsiaTheme="minorEastAsia"/>
          <w:b/>
          <w:i/>
          <w:iCs/>
          <w:lang w:eastAsia="zh-CN"/>
        </w:rPr>
        <w:t>_UE</w:t>
      </w:r>
      <w:r w:rsidRPr="00C104F0">
        <w:rPr>
          <w:rFonts w:eastAsiaTheme="minorEastAsia"/>
          <w:b/>
          <w:i/>
          <w:iCs/>
          <w:lang w:eastAsia="zh-CN"/>
        </w:rPr>
        <w:t>+RBextL+</w:t>
      </w:r>
      <w:proofErr w:type="gramStart"/>
      <w:r w:rsidRPr="00C104F0">
        <w:rPr>
          <w:rFonts w:eastAsiaTheme="minorEastAsia"/>
          <w:b/>
          <w:i/>
          <w:iCs/>
          <w:lang w:eastAsia="zh-CN"/>
        </w:rPr>
        <w:t>RBextH</w:t>
      </w:r>
      <w:proofErr w:type="spellEnd"/>
      <w:proofErr w:type="gramEnd"/>
    </w:p>
    <w:p w14:paraId="734032BB" w14:textId="77777777" w:rsidR="00E7084E" w:rsidRPr="00D123BD" w:rsidRDefault="00E7084E" w:rsidP="00E7084E">
      <w:pPr>
        <w:pStyle w:val="ListParagraph"/>
        <w:widowControl w:val="0"/>
        <w:numPr>
          <w:ilvl w:val="1"/>
          <w:numId w:val="31"/>
        </w:numPr>
        <w:spacing w:after="0"/>
        <w:ind w:firstLineChars="0"/>
        <w:rPr>
          <w:rFonts w:eastAsiaTheme="minorEastAsia"/>
          <w:b/>
          <w:lang w:eastAsia="zh-CN"/>
        </w:rPr>
      </w:pPr>
      <w:proofErr w:type="spellStart"/>
      <w:r w:rsidRPr="00C104F0">
        <w:rPr>
          <w:rFonts w:eastAsiaTheme="minorEastAsia"/>
          <w:b/>
          <w:i/>
          <w:iCs/>
          <w:lang w:eastAsia="zh-CN"/>
        </w:rPr>
        <w:lastRenderedPageBreak/>
        <w:t>RBstart</w:t>
      </w:r>
      <w:proofErr w:type="spellEnd"/>
      <w:r w:rsidRPr="00D123BD">
        <w:rPr>
          <w:rFonts w:eastAsiaTheme="minorEastAsia"/>
          <w:b/>
          <w:lang w:eastAsia="zh-CN"/>
        </w:rPr>
        <w:t xml:space="preserve"> </w:t>
      </w:r>
      <w:r w:rsidRPr="00C50F58">
        <w:rPr>
          <w:rFonts w:eastAsiaTheme="minorEastAsia"/>
          <w:b/>
          <w:lang w:eastAsia="zh-CN"/>
        </w:rPr>
        <w:t>in the inner equations of TS 38.101-1 clause .2.2</w:t>
      </w:r>
      <w:r>
        <w:rPr>
          <w:rFonts w:eastAsiaTheme="minorEastAsia"/>
          <w:b/>
          <w:i/>
          <w:iCs/>
          <w:lang w:eastAsia="zh-CN"/>
        </w:rPr>
        <w:t xml:space="preserve"> </w:t>
      </w:r>
      <w:r w:rsidRPr="00D123BD">
        <w:rPr>
          <w:rFonts w:eastAsiaTheme="minorEastAsia"/>
          <w:b/>
          <w:lang w:eastAsia="zh-CN"/>
        </w:rPr>
        <w:t xml:space="preserve">is replaced by </w:t>
      </w:r>
      <w:proofErr w:type="spellStart"/>
      <w:r w:rsidRPr="00C104F0">
        <w:rPr>
          <w:rFonts w:eastAsiaTheme="minorEastAsia"/>
          <w:b/>
          <w:i/>
          <w:iCs/>
          <w:lang w:eastAsia="zh-CN"/>
        </w:rPr>
        <w:t>RBext</w:t>
      </w:r>
      <w:r>
        <w:rPr>
          <w:rFonts w:eastAsiaTheme="minorEastAsia"/>
          <w:b/>
          <w:i/>
          <w:iCs/>
          <w:lang w:eastAsia="zh-CN"/>
        </w:rPr>
        <w:t>L+</w:t>
      </w:r>
      <w:r w:rsidRPr="00C104F0">
        <w:rPr>
          <w:rFonts w:eastAsiaTheme="minorEastAsia"/>
          <w:b/>
          <w:i/>
          <w:iCs/>
          <w:lang w:eastAsia="zh-CN"/>
        </w:rPr>
        <w:t>RBstart</w:t>
      </w:r>
      <w:r>
        <w:rPr>
          <w:rFonts w:eastAsiaTheme="minorEastAsia"/>
          <w:b/>
          <w:i/>
          <w:iCs/>
          <w:lang w:eastAsia="zh-CN"/>
        </w:rPr>
        <w:t>_UE</w:t>
      </w:r>
      <w:proofErr w:type="spellEnd"/>
    </w:p>
    <w:p w14:paraId="00E715C4" w14:textId="77777777" w:rsidR="00E7084E" w:rsidRPr="00CE528F" w:rsidRDefault="00E7084E" w:rsidP="00E7084E">
      <w:pPr>
        <w:pStyle w:val="ListParagraph"/>
        <w:widowControl w:val="0"/>
        <w:numPr>
          <w:ilvl w:val="0"/>
          <w:numId w:val="31"/>
        </w:numPr>
        <w:spacing w:after="0"/>
        <w:ind w:firstLineChars="0"/>
        <w:rPr>
          <w:rFonts w:eastAsia="Arial"/>
          <w:b/>
          <w:lang w:eastAsia="zh-CN"/>
        </w:rPr>
      </w:pPr>
      <w:r>
        <w:rPr>
          <w:rFonts w:eastAsiaTheme="minorEastAsia"/>
          <w:b/>
          <w:lang w:eastAsia="zh-CN"/>
        </w:rPr>
        <w:t>A UE capability is needed to inform the BS that the UE can reassign its outer/edge allocations to inner. T</w:t>
      </w:r>
      <w:r w:rsidRPr="00CE528F">
        <w:rPr>
          <w:rFonts w:eastAsiaTheme="minorEastAsia"/>
          <w:b/>
          <w:lang w:eastAsia="zh-CN"/>
        </w:rPr>
        <w:t>wo level</w:t>
      </w:r>
      <w:r>
        <w:rPr>
          <w:rFonts w:eastAsiaTheme="minorEastAsia"/>
          <w:b/>
          <w:lang w:eastAsia="zh-CN"/>
        </w:rPr>
        <w:t>s</w:t>
      </w:r>
      <w:r w:rsidRPr="00CE528F">
        <w:rPr>
          <w:rFonts w:eastAsiaTheme="minorEastAsia"/>
          <w:b/>
          <w:lang w:eastAsia="zh-CN"/>
        </w:rPr>
        <w:t xml:space="preserve"> of UE capability may be </w:t>
      </w:r>
      <w:r>
        <w:rPr>
          <w:rFonts w:eastAsiaTheme="minorEastAsia"/>
          <w:b/>
          <w:lang w:eastAsia="zh-CN"/>
        </w:rPr>
        <w:t>considered</w:t>
      </w:r>
      <w:r w:rsidRPr="00CE528F">
        <w:rPr>
          <w:rFonts w:eastAsiaTheme="minorEastAsia"/>
          <w:b/>
          <w:lang w:eastAsia="zh-CN"/>
        </w:rPr>
        <w:t>:</w:t>
      </w:r>
    </w:p>
    <w:p w14:paraId="3C3AADFC" w14:textId="77777777" w:rsidR="00E7084E" w:rsidRPr="00CE528F" w:rsidRDefault="00E7084E" w:rsidP="00E7084E">
      <w:pPr>
        <w:pStyle w:val="ListParagraph"/>
        <w:widowControl w:val="0"/>
        <w:numPr>
          <w:ilvl w:val="1"/>
          <w:numId w:val="31"/>
        </w:numPr>
        <w:spacing w:after="0"/>
        <w:ind w:firstLineChars="0"/>
        <w:rPr>
          <w:rFonts w:eastAsia="Arial"/>
          <w:b/>
          <w:lang w:eastAsia="zh-CN"/>
        </w:rPr>
      </w:pPr>
      <w:r>
        <w:rPr>
          <w:rFonts w:eastAsiaTheme="minorEastAsia"/>
          <w:b/>
          <w:lang w:eastAsia="zh-CN"/>
        </w:rPr>
        <w:t xml:space="preserve">One where the UE is able to reassign outer/edge to inner, based on </w:t>
      </w:r>
      <w:proofErr w:type="gramStart"/>
      <w:r w:rsidRPr="00C50F58">
        <w:rPr>
          <w:rFonts w:eastAsiaTheme="minorEastAsia"/>
          <w:b/>
          <w:i/>
          <w:iCs/>
          <w:lang w:eastAsia="zh-CN"/>
        </w:rPr>
        <w:t>ceil(</w:t>
      </w:r>
      <w:proofErr w:type="gramEnd"/>
      <w:r w:rsidRPr="00C50F58">
        <w:rPr>
          <w:rFonts w:eastAsiaTheme="minorEastAsia"/>
          <w:b/>
          <w:i/>
          <w:iCs/>
          <w:lang w:eastAsia="zh-CN"/>
        </w:rPr>
        <w:t>NRB_UE/14)</w:t>
      </w:r>
      <w:r>
        <w:rPr>
          <w:rFonts w:eastAsiaTheme="minorEastAsia"/>
          <w:b/>
          <w:lang w:eastAsia="zh-CN"/>
        </w:rPr>
        <w:t xml:space="preserve"> granularity of signalled RB extension.</w:t>
      </w:r>
    </w:p>
    <w:p w14:paraId="323175B7" w14:textId="77777777" w:rsidR="00E7084E" w:rsidRPr="00E26B89" w:rsidRDefault="00E7084E" w:rsidP="00E7084E">
      <w:pPr>
        <w:pStyle w:val="ListParagraph"/>
        <w:widowControl w:val="0"/>
        <w:numPr>
          <w:ilvl w:val="1"/>
          <w:numId w:val="31"/>
        </w:numPr>
        <w:spacing w:after="0"/>
        <w:ind w:firstLineChars="0"/>
        <w:rPr>
          <w:rFonts w:eastAsia="Arial"/>
          <w:b/>
          <w:lang w:eastAsia="zh-CN"/>
        </w:rPr>
      </w:pPr>
      <w:r>
        <w:rPr>
          <w:rFonts w:eastAsiaTheme="minorEastAsia"/>
          <w:b/>
          <w:lang w:eastAsia="zh-CN"/>
        </w:rPr>
        <w:t xml:space="preserve">One where the UE is only able to turn all or none of its outer/edge RBs into inner (this may be a valid option for </w:t>
      </w:r>
      <w:proofErr w:type="spellStart"/>
      <w:r>
        <w:rPr>
          <w:rFonts w:eastAsiaTheme="minorEastAsia"/>
          <w:b/>
          <w:lang w:eastAsia="zh-CN"/>
        </w:rPr>
        <w:t>RedCap</w:t>
      </w:r>
      <w:proofErr w:type="spellEnd"/>
      <w:r>
        <w:rPr>
          <w:rFonts w:eastAsiaTheme="minorEastAsia"/>
          <w:b/>
          <w:lang w:eastAsia="zh-CN"/>
        </w:rPr>
        <w:t xml:space="preserve"> UEs).</w:t>
      </w:r>
    </w:p>
    <w:p w14:paraId="58DEBC81" w14:textId="77777777" w:rsidR="00B35A63" w:rsidRDefault="00B35A63" w:rsidP="00B35A63">
      <w:pPr>
        <w:spacing w:after="0"/>
        <w:rPr>
          <w:rFonts w:eastAsia="Arial"/>
          <w:b/>
          <w:bCs/>
          <w:lang w:eastAsia="zh-CN"/>
        </w:rPr>
      </w:pPr>
    </w:p>
    <w:p w14:paraId="2498E684" w14:textId="5E24B76E" w:rsidR="00B35A63" w:rsidRPr="00EF265A" w:rsidRDefault="009D1550" w:rsidP="00B35A63">
      <w:pPr>
        <w:spacing w:after="0"/>
        <w:rPr>
          <w:rFonts w:eastAsia="Arial"/>
          <w:lang w:eastAsia="zh-CN"/>
        </w:rPr>
      </w:pPr>
      <w:r w:rsidRPr="00D52E81">
        <w:rPr>
          <w:rFonts w:eastAsia="Arial"/>
          <w:b/>
          <w:bCs/>
          <w:lang w:eastAsia="zh-CN"/>
        </w:rPr>
        <w:t>Proposal</w:t>
      </w:r>
      <w:r>
        <w:rPr>
          <w:rFonts w:eastAsia="Arial"/>
          <w:b/>
          <w:bCs/>
          <w:lang w:eastAsia="zh-CN"/>
        </w:rPr>
        <w:t xml:space="preserve"> on IBE</w:t>
      </w:r>
      <w:r w:rsidRPr="00D52E81">
        <w:rPr>
          <w:rFonts w:eastAsia="Arial"/>
          <w:b/>
          <w:bCs/>
          <w:lang w:eastAsia="zh-CN"/>
        </w:rPr>
        <w:t xml:space="preserve">: </w:t>
      </w:r>
      <w:r>
        <w:rPr>
          <w:rFonts w:eastAsia="Arial"/>
          <w:b/>
          <w:bCs/>
          <w:lang w:eastAsia="zh-CN"/>
        </w:rPr>
        <w:t xml:space="preserve">The extended RBs have no allocation by definition and thus should meet the IBE requirement in the first </w:t>
      </w:r>
      <w:r w:rsidRPr="00EF265A">
        <w:rPr>
          <w:rFonts w:eastAsia="Arial"/>
          <w:b/>
          <w:bCs/>
          <w:lang w:eastAsia="zh-CN"/>
        </w:rPr>
        <w:t>row of Table 6.4.2.3-1</w:t>
      </w:r>
      <w:r>
        <w:rPr>
          <w:rFonts w:eastAsia="Arial"/>
          <w:b/>
          <w:bCs/>
          <w:lang w:eastAsia="zh-CN"/>
        </w:rPr>
        <w:t xml:space="preserve"> </w:t>
      </w:r>
      <w:r w:rsidRPr="00EF265A">
        <w:rPr>
          <w:rFonts w:eastAsia="Arial"/>
          <w:b/>
          <w:bCs/>
          <w:lang w:eastAsia="zh-CN"/>
        </w:rPr>
        <w:t>in TS38.101-1</w:t>
      </w:r>
      <w:r>
        <w:rPr>
          <w:rFonts w:eastAsia="Arial"/>
          <w:b/>
          <w:bCs/>
          <w:lang w:eastAsia="zh-CN"/>
        </w:rPr>
        <w:t xml:space="preserve"> where NRB is the initial UE CBW NRB and LCRB is the number of allocated RB within initial UE CBW NRB. The IBE requirement is not made more stringent within the extended RBs</w:t>
      </w:r>
      <w:r w:rsidR="00B35A63">
        <w:rPr>
          <w:rFonts w:eastAsia="Arial"/>
          <w:b/>
          <w:bCs/>
          <w:lang w:eastAsia="zh-CN"/>
        </w:rPr>
        <w:t>.</w:t>
      </w:r>
    </w:p>
    <w:p w14:paraId="31337E88" w14:textId="3E7B5AA2" w:rsidR="0044674E" w:rsidRDefault="0044674E" w:rsidP="0044674E">
      <w:pPr>
        <w:widowControl w:val="0"/>
        <w:spacing w:after="0"/>
        <w:rPr>
          <w:rFonts w:eastAsia="Arial"/>
          <w:b/>
          <w:lang w:eastAsia="zh-CN"/>
        </w:rPr>
      </w:pPr>
    </w:p>
    <w:p w14:paraId="1D50D04C" w14:textId="12E97B4C" w:rsidR="0044674E" w:rsidRPr="00B35A63" w:rsidRDefault="009D1550" w:rsidP="00B35A63">
      <w:pPr>
        <w:spacing w:after="0"/>
        <w:rPr>
          <w:rFonts w:eastAsia="SimSun"/>
          <w:b/>
          <w:bCs/>
          <w:color w:val="000000" w:themeColor="text1"/>
          <w:szCs w:val="24"/>
          <w:lang w:eastAsia="zh-CN"/>
        </w:rPr>
      </w:pPr>
      <w:r w:rsidRPr="0075593D">
        <w:rPr>
          <w:rFonts w:eastAsia="SimSun"/>
          <w:b/>
          <w:bCs/>
          <w:color w:val="000000" w:themeColor="text1"/>
          <w:szCs w:val="24"/>
          <w:lang w:eastAsia="zh-CN"/>
        </w:rPr>
        <w:t>Proposal on additional emission requirements:</w:t>
      </w:r>
      <w:r>
        <w:rPr>
          <w:rFonts w:eastAsia="SimSun"/>
          <w:b/>
          <w:bCs/>
          <w:color w:val="000000" w:themeColor="text1"/>
          <w:szCs w:val="24"/>
          <w:lang w:eastAsia="zh-CN"/>
        </w:rPr>
        <w:t xml:space="preserve"> In cases where additional emission should be met, the UE performs the </w:t>
      </w:r>
      <w:proofErr w:type="gramStart"/>
      <w:r>
        <w:rPr>
          <w:rFonts w:eastAsia="SimSun"/>
          <w:b/>
          <w:bCs/>
          <w:color w:val="000000" w:themeColor="text1"/>
          <w:szCs w:val="24"/>
          <w:lang w:eastAsia="zh-CN"/>
        </w:rPr>
        <w:t>max(</w:t>
      </w:r>
      <w:proofErr w:type="gramEnd"/>
      <w:r>
        <w:rPr>
          <w:rFonts w:eastAsia="SimSun"/>
          <w:b/>
          <w:bCs/>
          <w:color w:val="000000" w:themeColor="text1"/>
          <w:szCs w:val="24"/>
          <w:lang w:eastAsia="zh-CN"/>
        </w:rPr>
        <w:t>MPR, A-MPR) function based on the specified A-MPR and the initial UE CBW MPR and thus set its backoff ignoring any MPR reduction. This is because the A-MPR tables have no values when MPR&gt;A-MPR and thus in case of an outer allocation it is unclear whether the improved MPR can apply</w:t>
      </w:r>
      <w:r w:rsidR="0044674E">
        <w:rPr>
          <w:rFonts w:eastAsia="Arial"/>
          <w:b/>
          <w:bCs/>
          <w:lang w:eastAsia="zh-CN"/>
        </w:rPr>
        <w:t>.</w:t>
      </w:r>
    </w:p>
    <w:p w14:paraId="706A035B" w14:textId="1CCC2FE4" w:rsidR="00C05662" w:rsidRDefault="00F2750F" w:rsidP="00DA1597">
      <w:pPr>
        <w:pStyle w:val="Heading1"/>
        <w:numPr>
          <w:ilvl w:val="0"/>
          <w:numId w:val="1"/>
        </w:numPr>
        <w:ind w:left="567" w:hanging="567"/>
      </w:pPr>
      <w:r>
        <w:t>References</w:t>
      </w:r>
    </w:p>
    <w:p w14:paraId="2F474A9D" w14:textId="601B9B87" w:rsidR="00CE2498" w:rsidRDefault="003979DC" w:rsidP="00CE2498">
      <w:pPr>
        <w:spacing w:after="0"/>
      </w:pPr>
      <w:r>
        <w:t>[</w:t>
      </w:r>
      <w:r w:rsidR="00DB055E">
        <w:t>1</w:t>
      </w:r>
      <w:r>
        <w:t xml:space="preserve">] </w:t>
      </w:r>
      <w:r w:rsidR="00615519" w:rsidRPr="00615519">
        <w:t>R4-2501489</w:t>
      </w:r>
      <w:r w:rsidR="00615519">
        <w:t xml:space="preserve"> </w:t>
      </w:r>
      <w:r w:rsidR="00615519" w:rsidRPr="00615519">
        <w:t>BW or RB extension approach for improving MPR when NW BW is higher than UE CBW</w:t>
      </w:r>
      <w:r w:rsidR="00797DEB">
        <w:t>, Skyworks Solutions Inc., R4#11</w:t>
      </w:r>
      <w:r w:rsidR="00615519">
        <w:t>4</w:t>
      </w:r>
    </w:p>
    <w:p w14:paraId="07E61F8D" w14:textId="4DC40C80" w:rsidR="007E3353" w:rsidRPr="007E3353" w:rsidRDefault="00CE2498" w:rsidP="00CE2498">
      <w:pPr>
        <w:spacing w:after="0"/>
      </w:pPr>
      <w:r>
        <w:t xml:space="preserve">[2] </w:t>
      </w:r>
      <w:r w:rsidR="00615519" w:rsidRPr="00615519">
        <w:t>R4-2503013</w:t>
      </w:r>
      <w:r w:rsidR="00615519">
        <w:t xml:space="preserve"> </w:t>
      </w:r>
      <w:r w:rsidR="00797DEB" w:rsidRPr="00797DEB">
        <w:t>WF on Power domain enhancement</w:t>
      </w:r>
      <w:r w:rsidR="00797DEB">
        <w:t xml:space="preserve">, </w:t>
      </w:r>
      <w:r w:rsidR="00797DEB" w:rsidRPr="00797DEB">
        <w:t xml:space="preserve">Huawei, </w:t>
      </w:r>
      <w:proofErr w:type="spellStart"/>
      <w:r w:rsidR="00797DEB" w:rsidRPr="00797DEB">
        <w:t>HiSilicon</w:t>
      </w:r>
      <w:proofErr w:type="spellEnd"/>
      <w:r w:rsidR="00797DEB">
        <w:t>, R4#11</w:t>
      </w:r>
      <w:r w:rsidR="00615519">
        <w:t>4</w:t>
      </w:r>
    </w:p>
    <w:sectPr w:rsidR="007E3353" w:rsidRPr="007E3353"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67FEA" w14:textId="77777777" w:rsidR="00535F85" w:rsidRPr="00A10429" w:rsidRDefault="00535F85" w:rsidP="0064547A">
      <w:pPr>
        <w:spacing w:after="0"/>
        <w:rPr>
          <w:kern w:val="2"/>
          <w:lang w:eastAsia="zh-CN"/>
        </w:rPr>
      </w:pPr>
      <w:r>
        <w:separator/>
      </w:r>
    </w:p>
  </w:endnote>
  <w:endnote w:type="continuationSeparator" w:id="0">
    <w:p w14:paraId="45E2F5D8" w14:textId="77777777" w:rsidR="00535F85" w:rsidRPr="00A10429" w:rsidRDefault="00535F85" w:rsidP="0064547A">
      <w:pPr>
        <w:spacing w:after="0"/>
        <w:rPr>
          <w:kern w:val="2"/>
          <w:lang w:eastAsia="zh-CN"/>
        </w:rPr>
      </w:pPr>
      <w:r>
        <w:continuationSeparator/>
      </w:r>
    </w:p>
  </w:endnote>
  <w:endnote w:type="continuationNotice" w:id="1">
    <w:p w14:paraId="6BD4E741" w14:textId="77777777" w:rsidR="00535F85" w:rsidRDefault="00535F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Yu Mincho">
    <w:altName w:val="MS Gothic"/>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E6830" w14:textId="77777777" w:rsidR="00535F85" w:rsidRPr="00A10429" w:rsidRDefault="00535F85" w:rsidP="0064547A">
      <w:pPr>
        <w:spacing w:after="0"/>
        <w:rPr>
          <w:kern w:val="2"/>
          <w:lang w:eastAsia="zh-CN"/>
        </w:rPr>
      </w:pPr>
      <w:r>
        <w:separator/>
      </w:r>
    </w:p>
  </w:footnote>
  <w:footnote w:type="continuationSeparator" w:id="0">
    <w:p w14:paraId="3CC2EABF" w14:textId="77777777" w:rsidR="00535F85" w:rsidRPr="00A10429" w:rsidRDefault="00535F85" w:rsidP="0064547A">
      <w:pPr>
        <w:spacing w:after="0"/>
        <w:rPr>
          <w:kern w:val="2"/>
          <w:lang w:eastAsia="zh-CN"/>
        </w:rPr>
      </w:pPr>
      <w:r>
        <w:continuationSeparator/>
      </w:r>
    </w:p>
  </w:footnote>
  <w:footnote w:type="continuationNotice" w:id="1">
    <w:p w14:paraId="5477BFC4" w14:textId="77777777" w:rsidR="00535F85" w:rsidRDefault="00535F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0880B32"/>
    <w:multiLevelType w:val="hybridMultilevel"/>
    <w:tmpl w:val="5ECAC8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4F59EF"/>
    <w:multiLevelType w:val="hybridMultilevel"/>
    <w:tmpl w:val="C9F08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64413F"/>
    <w:multiLevelType w:val="hybridMultilevel"/>
    <w:tmpl w:val="E692FC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4941BFD"/>
    <w:multiLevelType w:val="hybridMultilevel"/>
    <w:tmpl w:val="556469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3A2BCF"/>
    <w:multiLevelType w:val="hybridMultilevel"/>
    <w:tmpl w:val="E30275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BD90354"/>
    <w:multiLevelType w:val="hybridMultilevel"/>
    <w:tmpl w:val="93A003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C132AE5"/>
    <w:multiLevelType w:val="hybridMultilevel"/>
    <w:tmpl w:val="261E8F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70316F"/>
    <w:multiLevelType w:val="hybridMultilevel"/>
    <w:tmpl w:val="70FE4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5133A7"/>
    <w:multiLevelType w:val="hybridMultilevel"/>
    <w:tmpl w:val="A7F00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47B44A4"/>
    <w:multiLevelType w:val="hybridMultilevel"/>
    <w:tmpl w:val="31A01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BD6743A"/>
    <w:multiLevelType w:val="hybridMultilevel"/>
    <w:tmpl w:val="2E8E69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3F7521E"/>
    <w:multiLevelType w:val="hybridMultilevel"/>
    <w:tmpl w:val="3536A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1D4F73"/>
    <w:multiLevelType w:val="hybridMultilevel"/>
    <w:tmpl w:val="8E889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8A43B14"/>
    <w:multiLevelType w:val="hybridMultilevel"/>
    <w:tmpl w:val="682E42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9721879"/>
    <w:multiLevelType w:val="hybridMultilevel"/>
    <w:tmpl w:val="2B1AC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8" w15:restartNumberingAfterBreak="0">
    <w:nsid w:val="443A22A4"/>
    <w:multiLevelType w:val="hybridMultilevel"/>
    <w:tmpl w:val="51B62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8A235B1"/>
    <w:multiLevelType w:val="multilevel"/>
    <w:tmpl w:val="48A235B1"/>
    <w:lvl w:ilvl="0">
      <w:start w:val="1"/>
      <w:numFmt w:val="bullet"/>
      <w:lvlText w:val="•"/>
      <w:lvlJc w:val="left"/>
      <w:pPr>
        <w:ind w:left="620" w:hanging="420"/>
      </w:pPr>
      <w:rPr>
        <w:rFonts w:ascii="Arial" w:hAnsi="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1" w15:restartNumberingAfterBreak="0">
    <w:nsid w:val="4A655051"/>
    <w:multiLevelType w:val="hybridMultilevel"/>
    <w:tmpl w:val="CD640C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4FB22623"/>
    <w:multiLevelType w:val="hybridMultilevel"/>
    <w:tmpl w:val="7D4663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2165153"/>
    <w:multiLevelType w:val="hybridMultilevel"/>
    <w:tmpl w:val="215E7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537E5113"/>
    <w:multiLevelType w:val="hybridMultilevel"/>
    <w:tmpl w:val="FB1E75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BD71CE0"/>
    <w:multiLevelType w:val="hybridMultilevel"/>
    <w:tmpl w:val="E77064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DE3AF0"/>
    <w:multiLevelType w:val="hybridMultilevel"/>
    <w:tmpl w:val="9C74A7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F0370E0"/>
    <w:multiLevelType w:val="hybridMultilevel"/>
    <w:tmpl w:val="2F7E7F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4254964">
    <w:abstractNumId w:val="10"/>
  </w:num>
  <w:num w:numId="2" w16cid:durableId="1298339486">
    <w:abstractNumId w:val="7"/>
  </w:num>
  <w:num w:numId="3" w16cid:durableId="730156007">
    <w:abstractNumId w:val="19"/>
  </w:num>
  <w:num w:numId="4" w16cid:durableId="317660584">
    <w:abstractNumId w:val="17"/>
  </w:num>
  <w:num w:numId="5" w16cid:durableId="1858304697">
    <w:abstractNumId w:val="44"/>
  </w:num>
  <w:num w:numId="6" w16cid:durableId="2105563181">
    <w:abstractNumId w:val="6"/>
  </w:num>
  <w:num w:numId="7" w16cid:durableId="633097245">
    <w:abstractNumId w:val="32"/>
  </w:num>
  <w:num w:numId="8" w16cid:durableId="1163470918">
    <w:abstractNumId w:val="23"/>
  </w:num>
  <w:num w:numId="9" w16cid:durableId="255214559">
    <w:abstractNumId w:val="42"/>
  </w:num>
  <w:num w:numId="10" w16cid:durableId="1775591434">
    <w:abstractNumId w:val="45"/>
  </w:num>
  <w:num w:numId="11" w16cid:durableId="1690718188">
    <w:abstractNumId w:val="46"/>
  </w:num>
  <w:num w:numId="12" w16cid:durableId="1051925366">
    <w:abstractNumId w:val="26"/>
  </w:num>
  <w:num w:numId="13" w16cid:durableId="1741057929">
    <w:abstractNumId w:val="27"/>
  </w:num>
  <w:num w:numId="14" w16cid:durableId="232856064">
    <w:abstractNumId w:val="20"/>
  </w:num>
  <w:num w:numId="15" w16cid:durableId="224609546">
    <w:abstractNumId w:val="39"/>
  </w:num>
  <w:num w:numId="16" w16cid:durableId="1767651071">
    <w:abstractNumId w:val="0"/>
  </w:num>
  <w:num w:numId="17" w16cid:durableId="220364000">
    <w:abstractNumId w:val="41"/>
  </w:num>
  <w:num w:numId="18" w16cid:durableId="1462066297">
    <w:abstractNumId w:val="9"/>
  </w:num>
  <w:num w:numId="19" w16cid:durableId="799766590">
    <w:abstractNumId w:val="5"/>
  </w:num>
  <w:num w:numId="20" w16cid:durableId="1479571757">
    <w:abstractNumId w:val="40"/>
  </w:num>
  <w:num w:numId="21" w16cid:durableId="409159420">
    <w:abstractNumId w:val="35"/>
  </w:num>
  <w:num w:numId="22" w16cid:durableId="691032568">
    <w:abstractNumId w:val="29"/>
    <w:lvlOverride w:ilvl="0">
      <w:startOverride w:val="1"/>
    </w:lvlOverride>
  </w:num>
  <w:num w:numId="23" w16cid:durableId="1262377704">
    <w:abstractNumId w:val="36"/>
    <w:lvlOverride w:ilvl="0">
      <w:startOverride w:val="1"/>
    </w:lvlOverride>
  </w:num>
  <w:num w:numId="24" w16cid:durableId="952783814">
    <w:abstractNumId w:val="3"/>
  </w:num>
  <w:num w:numId="25" w16cid:durableId="2048479521">
    <w:abstractNumId w:val="14"/>
  </w:num>
  <w:num w:numId="26" w16cid:durableId="1747603214">
    <w:abstractNumId w:val="2"/>
  </w:num>
  <w:num w:numId="27" w16cid:durableId="330182488">
    <w:abstractNumId w:val="30"/>
  </w:num>
  <w:num w:numId="28" w16cid:durableId="1598051235">
    <w:abstractNumId w:val="34"/>
  </w:num>
  <w:num w:numId="29" w16cid:durableId="463086113">
    <w:abstractNumId w:val="1"/>
  </w:num>
  <w:num w:numId="30" w16cid:durableId="1915696993">
    <w:abstractNumId w:val="21"/>
  </w:num>
  <w:num w:numId="31" w16cid:durableId="1325088776">
    <w:abstractNumId w:val="15"/>
  </w:num>
  <w:num w:numId="32" w16cid:durableId="21906504">
    <w:abstractNumId w:val="25"/>
  </w:num>
  <w:num w:numId="33" w16cid:durableId="769786673">
    <w:abstractNumId w:val="12"/>
  </w:num>
  <w:num w:numId="34" w16cid:durableId="1440493806">
    <w:abstractNumId w:val="31"/>
  </w:num>
  <w:num w:numId="35" w16cid:durableId="434205608">
    <w:abstractNumId w:val="33"/>
  </w:num>
  <w:num w:numId="36" w16cid:durableId="1563518262">
    <w:abstractNumId w:val="11"/>
  </w:num>
  <w:num w:numId="37" w16cid:durableId="2099203998">
    <w:abstractNumId w:val="13"/>
  </w:num>
  <w:num w:numId="38" w16cid:durableId="1097336186">
    <w:abstractNumId w:val="24"/>
  </w:num>
  <w:num w:numId="39" w16cid:durableId="1035959621">
    <w:abstractNumId w:val="8"/>
  </w:num>
  <w:num w:numId="40" w16cid:durableId="8532592">
    <w:abstractNumId w:val="16"/>
  </w:num>
  <w:num w:numId="41" w16cid:durableId="1377973257">
    <w:abstractNumId w:val="43"/>
  </w:num>
  <w:num w:numId="42" w16cid:durableId="190729698">
    <w:abstractNumId w:val="18"/>
  </w:num>
  <w:num w:numId="43" w16cid:durableId="394624817">
    <w:abstractNumId w:val="37"/>
  </w:num>
  <w:num w:numId="44" w16cid:durableId="1896234032">
    <w:abstractNumId w:val="28"/>
  </w:num>
  <w:num w:numId="45" w16cid:durableId="2139685522">
    <w:abstractNumId w:val="4"/>
  </w:num>
  <w:num w:numId="46" w16cid:durableId="1974478088">
    <w:abstractNumId w:val="38"/>
  </w:num>
  <w:num w:numId="47" w16cid:durableId="1683317410">
    <w:abstractNumId w:val="22"/>
  </w:num>
  <w:num w:numId="48" w16cid:durableId="552693486">
    <w:abstractNumId w:val="4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310A"/>
    <w:rsid w:val="0001335E"/>
    <w:rsid w:val="000134D3"/>
    <w:rsid w:val="000134EA"/>
    <w:rsid w:val="0001376B"/>
    <w:rsid w:val="00013C34"/>
    <w:rsid w:val="000142FF"/>
    <w:rsid w:val="0001521F"/>
    <w:rsid w:val="00015662"/>
    <w:rsid w:val="000160F7"/>
    <w:rsid w:val="00016143"/>
    <w:rsid w:val="000168C7"/>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3A"/>
    <w:rsid w:val="000309D5"/>
    <w:rsid w:val="00030CE4"/>
    <w:rsid w:val="00030D2D"/>
    <w:rsid w:val="00031BB2"/>
    <w:rsid w:val="00031F4A"/>
    <w:rsid w:val="0003209A"/>
    <w:rsid w:val="000328AD"/>
    <w:rsid w:val="0003379A"/>
    <w:rsid w:val="00033BBF"/>
    <w:rsid w:val="000342A6"/>
    <w:rsid w:val="000346D6"/>
    <w:rsid w:val="000346ED"/>
    <w:rsid w:val="000349F5"/>
    <w:rsid w:val="00034C1F"/>
    <w:rsid w:val="00034E7E"/>
    <w:rsid w:val="000363CC"/>
    <w:rsid w:val="000371E4"/>
    <w:rsid w:val="0003730B"/>
    <w:rsid w:val="00037390"/>
    <w:rsid w:val="000406ED"/>
    <w:rsid w:val="00040CD4"/>
    <w:rsid w:val="00041630"/>
    <w:rsid w:val="0004178B"/>
    <w:rsid w:val="00042511"/>
    <w:rsid w:val="00043E81"/>
    <w:rsid w:val="00044C28"/>
    <w:rsid w:val="00044F34"/>
    <w:rsid w:val="0004555A"/>
    <w:rsid w:val="00050128"/>
    <w:rsid w:val="000503D5"/>
    <w:rsid w:val="000508AF"/>
    <w:rsid w:val="00050E97"/>
    <w:rsid w:val="0005157B"/>
    <w:rsid w:val="00052F5C"/>
    <w:rsid w:val="00053567"/>
    <w:rsid w:val="00053E8E"/>
    <w:rsid w:val="0005451D"/>
    <w:rsid w:val="00054C34"/>
    <w:rsid w:val="00054D46"/>
    <w:rsid w:val="00055967"/>
    <w:rsid w:val="0005655F"/>
    <w:rsid w:val="00056680"/>
    <w:rsid w:val="0005773B"/>
    <w:rsid w:val="00057CF8"/>
    <w:rsid w:val="0006018C"/>
    <w:rsid w:val="00060E54"/>
    <w:rsid w:val="00060FE3"/>
    <w:rsid w:val="000612B3"/>
    <w:rsid w:val="0006130E"/>
    <w:rsid w:val="00061483"/>
    <w:rsid w:val="00062489"/>
    <w:rsid w:val="0006270D"/>
    <w:rsid w:val="0006280E"/>
    <w:rsid w:val="00064870"/>
    <w:rsid w:val="00065412"/>
    <w:rsid w:val="00065D20"/>
    <w:rsid w:val="00065F75"/>
    <w:rsid w:val="00065F76"/>
    <w:rsid w:val="000671EA"/>
    <w:rsid w:val="00067448"/>
    <w:rsid w:val="00070CA9"/>
    <w:rsid w:val="0007125D"/>
    <w:rsid w:val="00071F1A"/>
    <w:rsid w:val="000722A2"/>
    <w:rsid w:val="000726B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0C8"/>
    <w:rsid w:val="0008756E"/>
    <w:rsid w:val="0009052F"/>
    <w:rsid w:val="00090809"/>
    <w:rsid w:val="00090B61"/>
    <w:rsid w:val="0009138D"/>
    <w:rsid w:val="00091F3C"/>
    <w:rsid w:val="0009283F"/>
    <w:rsid w:val="00092B72"/>
    <w:rsid w:val="00093417"/>
    <w:rsid w:val="00093796"/>
    <w:rsid w:val="00094102"/>
    <w:rsid w:val="00094284"/>
    <w:rsid w:val="00095015"/>
    <w:rsid w:val="0009535C"/>
    <w:rsid w:val="000A0890"/>
    <w:rsid w:val="000A1AC6"/>
    <w:rsid w:val="000A2857"/>
    <w:rsid w:val="000A290C"/>
    <w:rsid w:val="000A35B5"/>
    <w:rsid w:val="000A37BC"/>
    <w:rsid w:val="000A43A0"/>
    <w:rsid w:val="000A49A8"/>
    <w:rsid w:val="000A4B29"/>
    <w:rsid w:val="000A67F8"/>
    <w:rsid w:val="000A6DD0"/>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24DD"/>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335"/>
    <w:rsid w:val="000D58B6"/>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4B3"/>
    <w:rsid w:val="000E78AA"/>
    <w:rsid w:val="000F0A40"/>
    <w:rsid w:val="000F14B9"/>
    <w:rsid w:val="000F256C"/>
    <w:rsid w:val="000F29F6"/>
    <w:rsid w:val="000F31FB"/>
    <w:rsid w:val="000F3538"/>
    <w:rsid w:val="000F4067"/>
    <w:rsid w:val="000F40E2"/>
    <w:rsid w:val="000F485D"/>
    <w:rsid w:val="000F4A54"/>
    <w:rsid w:val="000F4CBB"/>
    <w:rsid w:val="000F4EC3"/>
    <w:rsid w:val="000F526C"/>
    <w:rsid w:val="000F5302"/>
    <w:rsid w:val="000F567C"/>
    <w:rsid w:val="000F5755"/>
    <w:rsid w:val="000F57B5"/>
    <w:rsid w:val="000F632A"/>
    <w:rsid w:val="000F73D2"/>
    <w:rsid w:val="000F78F0"/>
    <w:rsid w:val="0010029A"/>
    <w:rsid w:val="0010062D"/>
    <w:rsid w:val="00100E5C"/>
    <w:rsid w:val="00101494"/>
    <w:rsid w:val="00101C27"/>
    <w:rsid w:val="00103A28"/>
    <w:rsid w:val="001046F5"/>
    <w:rsid w:val="0010582B"/>
    <w:rsid w:val="00106F66"/>
    <w:rsid w:val="0010786A"/>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704"/>
    <w:rsid w:val="00124E13"/>
    <w:rsid w:val="00126709"/>
    <w:rsid w:val="00126CA6"/>
    <w:rsid w:val="00127D98"/>
    <w:rsid w:val="001308F6"/>
    <w:rsid w:val="0013169D"/>
    <w:rsid w:val="001322FA"/>
    <w:rsid w:val="00132700"/>
    <w:rsid w:val="00132F32"/>
    <w:rsid w:val="0013378D"/>
    <w:rsid w:val="00133D05"/>
    <w:rsid w:val="00135B4D"/>
    <w:rsid w:val="00136061"/>
    <w:rsid w:val="00136834"/>
    <w:rsid w:val="00136EA0"/>
    <w:rsid w:val="00136F3D"/>
    <w:rsid w:val="00137982"/>
    <w:rsid w:val="001402F2"/>
    <w:rsid w:val="00140C8D"/>
    <w:rsid w:val="0014152A"/>
    <w:rsid w:val="0014219D"/>
    <w:rsid w:val="00143C13"/>
    <w:rsid w:val="00144511"/>
    <w:rsid w:val="00144CFA"/>
    <w:rsid w:val="00145CDD"/>
    <w:rsid w:val="001460F4"/>
    <w:rsid w:val="0014612A"/>
    <w:rsid w:val="001467B0"/>
    <w:rsid w:val="001467CE"/>
    <w:rsid w:val="00146A28"/>
    <w:rsid w:val="00146C80"/>
    <w:rsid w:val="00146F82"/>
    <w:rsid w:val="00147750"/>
    <w:rsid w:val="001478F7"/>
    <w:rsid w:val="00150863"/>
    <w:rsid w:val="00150D9D"/>
    <w:rsid w:val="00152248"/>
    <w:rsid w:val="0015432E"/>
    <w:rsid w:val="00154449"/>
    <w:rsid w:val="00155F4B"/>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1E5F"/>
    <w:rsid w:val="001720E2"/>
    <w:rsid w:val="0017239C"/>
    <w:rsid w:val="0017434E"/>
    <w:rsid w:val="00174A3D"/>
    <w:rsid w:val="00175B25"/>
    <w:rsid w:val="00176367"/>
    <w:rsid w:val="0017793C"/>
    <w:rsid w:val="00177CA1"/>
    <w:rsid w:val="0018029D"/>
    <w:rsid w:val="00180A37"/>
    <w:rsid w:val="00180A39"/>
    <w:rsid w:val="0018149C"/>
    <w:rsid w:val="001815F1"/>
    <w:rsid w:val="00181C7F"/>
    <w:rsid w:val="00183889"/>
    <w:rsid w:val="00183CEE"/>
    <w:rsid w:val="00184EB3"/>
    <w:rsid w:val="00184F92"/>
    <w:rsid w:val="00185039"/>
    <w:rsid w:val="001856EB"/>
    <w:rsid w:val="00185B97"/>
    <w:rsid w:val="00186262"/>
    <w:rsid w:val="00186634"/>
    <w:rsid w:val="00186D2E"/>
    <w:rsid w:val="001876A5"/>
    <w:rsid w:val="00187A6A"/>
    <w:rsid w:val="00187BDF"/>
    <w:rsid w:val="00187D2B"/>
    <w:rsid w:val="00190D3D"/>
    <w:rsid w:val="00190E7F"/>
    <w:rsid w:val="00192071"/>
    <w:rsid w:val="00192AB7"/>
    <w:rsid w:val="00193B74"/>
    <w:rsid w:val="0019591E"/>
    <w:rsid w:val="00196E90"/>
    <w:rsid w:val="00197367"/>
    <w:rsid w:val="00197B20"/>
    <w:rsid w:val="00197EC2"/>
    <w:rsid w:val="001A0665"/>
    <w:rsid w:val="001A1BAF"/>
    <w:rsid w:val="001A1C89"/>
    <w:rsid w:val="001A2689"/>
    <w:rsid w:val="001A32ED"/>
    <w:rsid w:val="001A3878"/>
    <w:rsid w:val="001A4100"/>
    <w:rsid w:val="001A4937"/>
    <w:rsid w:val="001A49E4"/>
    <w:rsid w:val="001A4B27"/>
    <w:rsid w:val="001A4FA5"/>
    <w:rsid w:val="001A678E"/>
    <w:rsid w:val="001A76D9"/>
    <w:rsid w:val="001B0571"/>
    <w:rsid w:val="001B0B5B"/>
    <w:rsid w:val="001B0E71"/>
    <w:rsid w:val="001B0ECA"/>
    <w:rsid w:val="001B1F60"/>
    <w:rsid w:val="001B2301"/>
    <w:rsid w:val="001B3849"/>
    <w:rsid w:val="001B39CE"/>
    <w:rsid w:val="001B3C61"/>
    <w:rsid w:val="001B4C1A"/>
    <w:rsid w:val="001B54DB"/>
    <w:rsid w:val="001B6A0A"/>
    <w:rsid w:val="001B6B07"/>
    <w:rsid w:val="001B75C4"/>
    <w:rsid w:val="001B7694"/>
    <w:rsid w:val="001B77B1"/>
    <w:rsid w:val="001C0BCA"/>
    <w:rsid w:val="001C0F6B"/>
    <w:rsid w:val="001C1F5D"/>
    <w:rsid w:val="001C27CD"/>
    <w:rsid w:val="001C2E62"/>
    <w:rsid w:val="001C31B3"/>
    <w:rsid w:val="001C459E"/>
    <w:rsid w:val="001C45FD"/>
    <w:rsid w:val="001C59D2"/>
    <w:rsid w:val="001C5C14"/>
    <w:rsid w:val="001C6163"/>
    <w:rsid w:val="001C6564"/>
    <w:rsid w:val="001C674D"/>
    <w:rsid w:val="001C7654"/>
    <w:rsid w:val="001C7AEA"/>
    <w:rsid w:val="001C7F05"/>
    <w:rsid w:val="001D0102"/>
    <w:rsid w:val="001D012A"/>
    <w:rsid w:val="001D0238"/>
    <w:rsid w:val="001D06C5"/>
    <w:rsid w:val="001D08EA"/>
    <w:rsid w:val="001D0E8A"/>
    <w:rsid w:val="001D10AC"/>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405D"/>
    <w:rsid w:val="001F46FC"/>
    <w:rsid w:val="001F48BF"/>
    <w:rsid w:val="001F4DB2"/>
    <w:rsid w:val="001F5359"/>
    <w:rsid w:val="001F5513"/>
    <w:rsid w:val="001F5720"/>
    <w:rsid w:val="001F58A7"/>
    <w:rsid w:val="001F5C28"/>
    <w:rsid w:val="001F5F5D"/>
    <w:rsid w:val="001F72D4"/>
    <w:rsid w:val="001F769A"/>
    <w:rsid w:val="001F7B0F"/>
    <w:rsid w:val="00200D69"/>
    <w:rsid w:val="002013B0"/>
    <w:rsid w:val="002019EC"/>
    <w:rsid w:val="00201B2D"/>
    <w:rsid w:val="00202016"/>
    <w:rsid w:val="002044F6"/>
    <w:rsid w:val="0020502B"/>
    <w:rsid w:val="002055A9"/>
    <w:rsid w:val="00205B14"/>
    <w:rsid w:val="00205EE2"/>
    <w:rsid w:val="00206FF1"/>
    <w:rsid w:val="0020759B"/>
    <w:rsid w:val="00207684"/>
    <w:rsid w:val="002100B3"/>
    <w:rsid w:val="002109A7"/>
    <w:rsid w:val="0021147E"/>
    <w:rsid w:val="0021162B"/>
    <w:rsid w:val="00212131"/>
    <w:rsid w:val="0021245C"/>
    <w:rsid w:val="002125E2"/>
    <w:rsid w:val="002126E1"/>
    <w:rsid w:val="00213520"/>
    <w:rsid w:val="00213F0D"/>
    <w:rsid w:val="002142B4"/>
    <w:rsid w:val="002145B5"/>
    <w:rsid w:val="002147A1"/>
    <w:rsid w:val="002158E3"/>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A0F"/>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31A"/>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65B20"/>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77519"/>
    <w:rsid w:val="00280D59"/>
    <w:rsid w:val="0028151D"/>
    <w:rsid w:val="00281711"/>
    <w:rsid w:val="00281AE9"/>
    <w:rsid w:val="00281B38"/>
    <w:rsid w:val="002829F6"/>
    <w:rsid w:val="00282AA2"/>
    <w:rsid w:val="00282BA4"/>
    <w:rsid w:val="002834E2"/>
    <w:rsid w:val="00283520"/>
    <w:rsid w:val="00283913"/>
    <w:rsid w:val="0028397A"/>
    <w:rsid w:val="00283C77"/>
    <w:rsid w:val="0028649D"/>
    <w:rsid w:val="0028787D"/>
    <w:rsid w:val="002878A1"/>
    <w:rsid w:val="00290438"/>
    <w:rsid w:val="00290469"/>
    <w:rsid w:val="00290BF1"/>
    <w:rsid w:val="002914A3"/>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6695"/>
    <w:rsid w:val="002A6CB5"/>
    <w:rsid w:val="002A6FAE"/>
    <w:rsid w:val="002A71AA"/>
    <w:rsid w:val="002A7450"/>
    <w:rsid w:val="002B03B3"/>
    <w:rsid w:val="002B04F1"/>
    <w:rsid w:val="002B07F4"/>
    <w:rsid w:val="002B153B"/>
    <w:rsid w:val="002B2864"/>
    <w:rsid w:val="002B3FCC"/>
    <w:rsid w:val="002B4EF5"/>
    <w:rsid w:val="002B58D7"/>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1314"/>
    <w:rsid w:val="002D1B93"/>
    <w:rsid w:val="002D3534"/>
    <w:rsid w:val="002D3E08"/>
    <w:rsid w:val="002D49F9"/>
    <w:rsid w:val="002D4F11"/>
    <w:rsid w:val="002D506B"/>
    <w:rsid w:val="002D509E"/>
    <w:rsid w:val="002D56B0"/>
    <w:rsid w:val="002D7E4C"/>
    <w:rsid w:val="002E0814"/>
    <w:rsid w:val="002E0B43"/>
    <w:rsid w:val="002E0C68"/>
    <w:rsid w:val="002E11EA"/>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62E2"/>
    <w:rsid w:val="002E750D"/>
    <w:rsid w:val="002F047B"/>
    <w:rsid w:val="002F0FEA"/>
    <w:rsid w:val="002F1558"/>
    <w:rsid w:val="002F15C7"/>
    <w:rsid w:val="002F1DBE"/>
    <w:rsid w:val="002F1F4D"/>
    <w:rsid w:val="002F22A3"/>
    <w:rsid w:val="002F25AB"/>
    <w:rsid w:val="002F295A"/>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7E7"/>
    <w:rsid w:val="00300A25"/>
    <w:rsid w:val="00301F58"/>
    <w:rsid w:val="00302D41"/>
    <w:rsid w:val="00302DD9"/>
    <w:rsid w:val="003030A0"/>
    <w:rsid w:val="00303292"/>
    <w:rsid w:val="00303517"/>
    <w:rsid w:val="003041DD"/>
    <w:rsid w:val="00305269"/>
    <w:rsid w:val="00305A3C"/>
    <w:rsid w:val="00306319"/>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70B"/>
    <w:rsid w:val="00315F1F"/>
    <w:rsid w:val="00316B5B"/>
    <w:rsid w:val="00316D07"/>
    <w:rsid w:val="0031711F"/>
    <w:rsid w:val="00317689"/>
    <w:rsid w:val="0031772E"/>
    <w:rsid w:val="003205B2"/>
    <w:rsid w:val="003205DD"/>
    <w:rsid w:val="00320760"/>
    <w:rsid w:val="00320DF7"/>
    <w:rsid w:val="003211D6"/>
    <w:rsid w:val="00321940"/>
    <w:rsid w:val="00322C34"/>
    <w:rsid w:val="003237F5"/>
    <w:rsid w:val="00323A56"/>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AFC"/>
    <w:rsid w:val="00336D82"/>
    <w:rsid w:val="00337698"/>
    <w:rsid w:val="003408F4"/>
    <w:rsid w:val="00341E64"/>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27FD"/>
    <w:rsid w:val="00355B5C"/>
    <w:rsid w:val="00357962"/>
    <w:rsid w:val="00357E35"/>
    <w:rsid w:val="0036050E"/>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ED"/>
    <w:rsid w:val="00377185"/>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6EA"/>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4F2F"/>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07A"/>
    <w:rsid w:val="003C1439"/>
    <w:rsid w:val="003C421A"/>
    <w:rsid w:val="003C4B33"/>
    <w:rsid w:val="003C63A7"/>
    <w:rsid w:val="003C6F09"/>
    <w:rsid w:val="003C71D0"/>
    <w:rsid w:val="003C744D"/>
    <w:rsid w:val="003C77D2"/>
    <w:rsid w:val="003D02D5"/>
    <w:rsid w:val="003D069C"/>
    <w:rsid w:val="003D0728"/>
    <w:rsid w:val="003D1BB6"/>
    <w:rsid w:val="003D2634"/>
    <w:rsid w:val="003D2EA7"/>
    <w:rsid w:val="003D4A03"/>
    <w:rsid w:val="003D57E8"/>
    <w:rsid w:val="003D5AF5"/>
    <w:rsid w:val="003D5FD7"/>
    <w:rsid w:val="003D63E0"/>
    <w:rsid w:val="003D6C94"/>
    <w:rsid w:val="003D6E9A"/>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495F"/>
    <w:rsid w:val="003E5002"/>
    <w:rsid w:val="003E5D14"/>
    <w:rsid w:val="003E5DEA"/>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887"/>
    <w:rsid w:val="003F69CC"/>
    <w:rsid w:val="003F6CF8"/>
    <w:rsid w:val="00400456"/>
    <w:rsid w:val="00400C4A"/>
    <w:rsid w:val="0040113C"/>
    <w:rsid w:val="004012B3"/>
    <w:rsid w:val="004018E7"/>
    <w:rsid w:val="0040193A"/>
    <w:rsid w:val="00401B84"/>
    <w:rsid w:val="0040266A"/>
    <w:rsid w:val="00402879"/>
    <w:rsid w:val="0040314D"/>
    <w:rsid w:val="00403C32"/>
    <w:rsid w:val="004048E8"/>
    <w:rsid w:val="00404FC1"/>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21C6"/>
    <w:rsid w:val="00424382"/>
    <w:rsid w:val="00424410"/>
    <w:rsid w:val="004246F0"/>
    <w:rsid w:val="00424C45"/>
    <w:rsid w:val="0042537F"/>
    <w:rsid w:val="004255D1"/>
    <w:rsid w:val="00425FFF"/>
    <w:rsid w:val="004277ED"/>
    <w:rsid w:val="00427A34"/>
    <w:rsid w:val="00430784"/>
    <w:rsid w:val="004310AB"/>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4674E"/>
    <w:rsid w:val="00446BB1"/>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510A"/>
    <w:rsid w:val="00486B4B"/>
    <w:rsid w:val="00490190"/>
    <w:rsid w:val="004903A4"/>
    <w:rsid w:val="0049049C"/>
    <w:rsid w:val="004905B0"/>
    <w:rsid w:val="004908FA"/>
    <w:rsid w:val="00490A6D"/>
    <w:rsid w:val="0049190E"/>
    <w:rsid w:val="00491BF7"/>
    <w:rsid w:val="00491DC7"/>
    <w:rsid w:val="0049213D"/>
    <w:rsid w:val="004923F3"/>
    <w:rsid w:val="00492DC5"/>
    <w:rsid w:val="004955CA"/>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764"/>
    <w:rsid w:val="004B5AD2"/>
    <w:rsid w:val="004B7343"/>
    <w:rsid w:val="004C0260"/>
    <w:rsid w:val="004C03EC"/>
    <w:rsid w:val="004C0607"/>
    <w:rsid w:val="004C0E72"/>
    <w:rsid w:val="004C114D"/>
    <w:rsid w:val="004C1552"/>
    <w:rsid w:val="004C1721"/>
    <w:rsid w:val="004C178B"/>
    <w:rsid w:val="004C1856"/>
    <w:rsid w:val="004C230A"/>
    <w:rsid w:val="004C2680"/>
    <w:rsid w:val="004C273D"/>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21DE"/>
    <w:rsid w:val="004D2A2D"/>
    <w:rsid w:val="004D3EAE"/>
    <w:rsid w:val="004D413D"/>
    <w:rsid w:val="004D425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C4B"/>
    <w:rsid w:val="004E40B3"/>
    <w:rsid w:val="004E4A54"/>
    <w:rsid w:val="004E4E98"/>
    <w:rsid w:val="004E751C"/>
    <w:rsid w:val="004E7E0E"/>
    <w:rsid w:val="004F05AB"/>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8C3"/>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6606"/>
    <w:rsid w:val="00527521"/>
    <w:rsid w:val="0052771D"/>
    <w:rsid w:val="00527A63"/>
    <w:rsid w:val="00527C83"/>
    <w:rsid w:val="00530F53"/>
    <w:rsid w:val="0053231C"/>
    <w:rsid w:val="00532946"/>
    <w:rsid w:val="00532AA1"/>
    <w:rsid w:val="005335CB"/>
    <w:rsid w:val="00534A2D"/>
    <w:rsid w:val="00534EAD"/>
    <w:rsid w:val="00535207"/>
    <w:rsid w:val="00535C45"/>
    <w:rsid w:val="00535F85"/>
    <w:rsid w:val="005368B4"/>
    <w:rsid w:val="005369AB"/>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AF2"/>
    <w:rsid w:val="00545C0F"/>
    <w:rsid w:val="00546A98"/>
    <w:rsid w:val="0054719A"/>
    <w:rsid w:val="005472CB"/>
    <w:rsid w:val="00550275"/>
    <w:rsid w:val="005504BE"/>
    <w:rsid w:val="005505C2"/>
    <w:rsid w:val="00550B16"/>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6E3A"/>
    <w:rsid w:val="00557448"/>
    <w:rsid w:val="005575A5"/>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379"/>
    <w:rsid w:val="005745C0"/>
    <w:rsid w:val="005746CE"/>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432"/>
    <w:rsid w:val="00590CEE"/>
    <w:rsid w:val="00591CC5"/>
    <w:rsid w:val="00591E62"/>
    <w:rsid w:val="00591F60"/>
    <w:rsid w:val="00592DCF"/>
    <w:rsid w:val="00593104"/>
    <w:rsid w:val="005933FF"/>
    <w:rsid w:val="005940CC"/>
    <w:rsid w:val="00594130"/>
    <w:rsid w:val="00594794"/>
    <w:rsid w:val="00594B9F"/>
    <w:rsid w:val="00595E89"/>
    <w:rsid w:val="00596426"/>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2177"/>
    <w:rsid w:val="005B3375"/>
    <w:rsid w:val="005B39E2"/>
    <w:rsid w:val="005B3D19"/>
    <w:rsid w:val="005B3F97"/>
    <w:rsid w:val="005B5569"/>
    <w:rsid w:val="005B6E41"/>
    <w:rsid w:val="005B757D"/>
    <w:rsid w:val="005C04DB"/>
    <w:rsid w:val="005C0CDA"/>
    <w:rsid w:val="005C16FD"/>
    <w:rsid w:val="005C21C7"/>
    <w:rsid w:val="005C23F0"/>
    <w:rsid w:val="005C37EB"/>
    <w:rsid w:val="005C3917"/>
    <w:rsid w:val="005C3995"/>
    <w:rsid w:val="005C3996"/>
    <w:rsid w:val="005C39A6"/>
    <w:rsid w:val="005C3D8D"/>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1EF4"/>
    <w:rsid w:val="005D2208"/>
    <w:rsid w:val="005D2B05"/>
    <w:rsid w:val="005D2D86"/>
    <w:rsid w:val="005D2F87"/>
    <w:rsid w:val="005D3156"/>
    <w:rsid w:val="005D331D"/>
    <w:rsid w:val="005D3DDF"/>
    <w:rsid w:val="005D4072"/>
    <w:rsid w:val="005D4CC4"/>
    <w:rsid w:val="005D4F18"/>
    <w:rsid w:val="005D6CA2"/>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519"/>
    <w:rsid w:val="00615713"/>
    <w:rsid w:val="00615DAC"/>
    <w:rsid w:val="00616AD5"/>
    <w:rsid w:val="0061762E"/>
    <w:rsid w:val="006178D6"/>
    <w:rsid w:val="00617B0E"/>
    <w:rsid w:val="00617B69"/>
    <w:rsid w:val="00617C21"/>
    <w:rsid w:val="00617E71"/>
    <w:rsid w:val="0062028B"/>
    <w:rsid w:val="006204A5"/>
    <w:rsid w:val="00620F17"/>
    <w:rsid w:val="00621EF3"/>
    <w:rsid w:val="006226E1"/>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3DED"/>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795"/>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023"/>
    <w:rsid w:val="006711A3"/>
    <w:rsid w:val="00671A16"/>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0D3"/>
    <w:rsid w:val="0068254F"/>
    <w:rsid w:val="0068289E"/>
    <w:rsid w:val="00682B88"/>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887"/>
    <w:rsid w:val="006B0917"/>
    <w:rsid w:val="006B1514"/>
    <w:rsid w:val="006B17F0"/>
    <w:rsid w:val="006B1B45"/>
    <w:rsid w:val="006B1BFD"/>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3CD7"/>
    <w:rsid w:val="006E414A"/>
    <w:rsid w:val="006E4483"/>
    <w:rsid w:val="006E471D"/>
    <w:rsid w:val="006E488D"/>
    <w:rsid w:val="006E4DE3"/>
    <w:rsid w:val="006E5109"/>
    <w:rsid w:val="006E55C3"/>
    <w:rsid w:val="006E5A2B"/>
    <w:rsid w:val="006E651D"/>
    <w:rsid w:val="006E6967"/>
    <w:rsid w:val="006E7E30"/>
    <w:rsid w:val="006F000B"/>
    <w:rsid w:val="006F0E54"/>
    <w:rsid w:val="006F0FDA"/>
    <w:rsid w:val="006F132E"/>
    <w:rsid w:val="006F38CF"/>
    <w:rsid w:val="006F39AA"/>
    <w:rsid w:val="006F39AE"/>
    <w:rsid w:val="006F42AE"/>
    <w:rsid w:val="006F5128"/>
    <w:rsid w:val="006F5AD3"/>
    <w:rsid w:val="006F5EDF"/>
    <w:rsid w:val="006F65D6"/>
    <w:rsid w:val="006F6940"/>
    <w:rsid w:val="006F7CFD"/>
    <w:rsid w:val="00700F69"/>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790"/>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23C"/>
    <w:rsid w:val="00730F80"/>
    <w:rsid w:val="0073102C"/>
    <w:rsid w:val="00731616"/>
    <w:rsid w:val="00731D52"/>
    <w:rsid w:val="00732472"/>
    <w:rsid w:val="00732763"/>
    <w:rsid w:val="00732A4A"/>
    <w:rsid w:val="0073332B"/>
    <w:rsid w:val="0073337E"/>
    <w:rsid w:val="00734046"/>
    <w:rsid w:val="007353AB"/>
    <w:rsid w:val="00736D6C"/>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F94"/>
    <w:rsid w:val="0079754A"/>
    <w:rsid w:val="00797DEB"/>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2410"/>
    <w:rsid w:val="007C3370"/>
    <w:rsid w:val="007C3F08"/>
    <w:rsid w:val="007C563E"/>
    <w:rsid w:val="007C5DBD"/>
    <w:rsid w:val="007C6B46"/>
    <w:rsid w:val="007C71BC"/>
    <w:rsid w:val="007C7DEE"/>
    <w:rsid w:val="007C7E70"/>
    <w:rsid w:val="007C7FA7"/>
    <w:rsid w:val="007D02A2"/>
    <w:rsid w:val="007D0780"/>
    <w:rsid w:val="007D0DE0"/>
    <w:rsid w:val="007D1027"/>
    <w:rsid w:val="007D1190"/>
    <w:rsid w:val="007D11CA"/>
    <w:rsid w:val="007D14BA"/>
    <w:rsid w:val="007D2850"/>
    <w:rsid w:val="007D2AD3"/>
    <w:rsid w:val="007D30B6"/>
    <w:rsid w:val="007D3354"/>
    <w:rsid w:val="007D421D"/>
    <w:rsid w:val="007D44B6"/>
    <w:rsid w:val="007D46BF"/>
    <w:rsid w:val="007D474D"/>
    <w:rsid w:val="007D51E1"/>
    <w:rsid w:val="007D573E"/>
    <w:rsid w:val="007D5B9F"/>
    <w:rsid w:val="007D660E"/>
    <w:rsid w:val="007D6C4C"/>
    <w:rsid w:val="007E0248"/>
    <w:rsid w:val="007E030D"/>
    <w:rsid w:val="007E045E"/>
    <w:rsid w:val="007E06F7"/>
    <w:rsid w:val="007E1DF7"/>
    <w:rsid w:val="007E22F1"/>
    <w:rsid w:val="007E28FF"/>
    <w:rsid w:val="007E3353"/>
    <w:rsid w:val="007E3F9A"/>
    <w:rsid w:val="007E46B9"/>
    <w:rsid w:val="007E6A5B"/>
    <w:rsid w:val="007F00E1"/>
    <w:rsid w:val="007F074D"/>
    <w:rsid w:val="007F0C30"/>
    <w:rsid w:val="007F1177"/>
    <w:rsid w:val="007F12E1"/>
    <w:rsid w:val="007F1517"/>
    <w:rsid w:val="007F19C1"/>
    <w:rsid w:val="007F212C"/>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38BF"/>
    <w:rsid w:val="00813EE9"/>
    <w:rsid w:val="008143B6"/>
    <w:rsid w:val="008143E4"/>
    <w:rsid w:val="008149EE"/>
    <w:rsid w:val="00814E27"/>
    <w:rsid w:val="008155B6"/>
    <w:rsid w:val="008157CB"/>
    <w:rsid w:val="00815B1F"/>
    <w:rsid w:val="00815CE3"/>
    <w:rsid w:val="008163AC"/>
    <w:rsid w:val="00816B7D"/>
    <w:rsid w:val="00816DD3"/>
    <w:rsid w:val="00816EB5"/>
    <w:rsid w:val="00820D82"/>
    <w:rsid w:val="00820EA2"/>
    <w:rsid w:val="00821853"/>
    <w:rsid w:val="00821DAE"/>
    <w:rsid w:val="008222E4"/>
    <w:rsid w:val="00822A7C"/>
    <w:rsid w:val="00822D99"/>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41"/>
    <w:rsid w:val="00846E91"/>
    <w:rsid w:val="00850EAC"/>
    <w:rsid w:val="0085120C"/>
    <w:rsid w:val="008519BC"/>
    <w:rsid w:val="00851C71"/>
    <w:rsid w:val="00851E9B"/>
    <w:rsid w:val="00852921"/>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D23"/>
    <w:rsid w:val="008633FD"/>
    <w:rsid w:val="00863540"/>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49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632"/>
    <w:rsid w:val="00897BDF"/>
    <w:rsid w:val="008A0544"/>
    <w:rsid w:val="008A156C"/>
    <w:rsid w:val="008A1C0C"/>
    <w:rsid w:val="008A24E9"/>
    <w:rsid w:val="008A2550"/>
    <w:rsid w:val="008A27DC"/>
    <w:rsid w:val="008A31EF"/>
    <w:rsid w:val="008A346A"/>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2BCE"/>
    <w:rsid w:val="008D3451"/>
    <w:rsid w:val="008D3889"/>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1C29"/>
    <w:rsid w:val="008F2020"/>
    <w:rsid w:val="008F2096"/>
    <w:rsid w:val="008F215A"/>
    <w:rsid w:val="008F229A"/>
    <w:rsid w:val="008F3701"/>
    <w:rsid w:val="008F407B"/>
    <w:rsid w:val="008F4E6A"/>
    <w:rsid w:val="008F562B"/>
    <w:rsid w:val="008F58E8"/>
    <w:rsid w:val="008F7030"/>
    <w:rsid w:val="008F74E2"/>
    <w:rsid w:val="009018E5"/>
    <w:rsid w:val="00902927"/>
    <w:rsid w:val="00902D50"/>
    <w:rsid w:val="00903940"/>
    <w:rsid w:val="00903A60"/>
    <w:rsid w:val="00904190"/>
    <w:rsid w:val="009049F1"/>
    <w:rsid w:val="0090522A"/>
    <w:rsid w:val="0090527F"/>
    <w:rsid w:val="009052F3"/>
    <w:rsid w:val="00906105"/>
    <w:rsid w:val="00906705"/>
    <w:rsid w:val="0090677C"/>
    <w:rsid w:val="00906A6B"/>
    <w:rsid w:val="009100F5"/>
    <w:rsid w:val="00910A50"/>
    <w:rsid w:val="00911A69"/>
    <w:rsid w:val="0091248D"/>
    <w:rsid w:val="009126B0"/>
    <w:rsid w:val="00912B35"/>
    <w:rsid w:val="00913094"/>
    <w:rsid w:val="00914421"/>
    <w:rsid w:val="009145CD"/>
    <w:rsid w:val="0091476C"/>
    <w:rsid w:val="00914AE9"/>
    <w:rsid w:val="00915043"/>
    <w:rsid w:val="00915FA6"/>
    <w:rsid w:val="009160C0"/>
    <w:rsid w:val="00916340"/>
    <w:rsid w:val="00917385"/>
    <w:rsid w:val="00920CAB"/>
    <w:rsid w:val="009212D0"/>
    <w:rsid w:val="009212EC"/>
    <w:rsid w:val="00921977"/>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0EC"/>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3C3"/>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73D"/>
    <w:rsid w:val="00965D0E"/>
    <w:rsid w:val="00967098"/>
    <w:rsid w:val="00967DF2"/>
    <w:rsid w:val="00970E56"/>
    <w:rsid w:val="009719DF"/>
    <w:rsid w:val="00972831"/>
    <w:rsid w:val="00974949"/>
    <w:rsid w:val="009762E8"/>
    <w:rsid w:val="009778E5"/>
    <w:rsid w:val="00977C6D"/>
    <w:rsid w:val="00980FCC"/>
    <w:rsid w:val="00982099"/>
    <w:rsid w:val="009830EE"/>
    <w:rsid w:val="009832D3"/>
    <w:rsid w:val="00984E48"/>
    <w:rsid w:val="00985C12"/>
    <w:rsid w:val="00985C65"/>
    <w:rsid w:val="009861C5"/>
    <w:rsid w:val="00987534"/>
    <w:rsid w:val="00987663"/>
    <w:rsid w:val="0099184E"/>
    <w:rsid w:val="00992CAD"/>
    <w:rsid w:val="00993551"/>
    <w:rsid w:val="00993FA6"/>
    <w:rsid w:val="00994002"/>
    <w:rsid w:val="00995A15"/>
    <w:rsid w:val="0099661F"/>
    <w:rsid w:val="00996620"/>
    <w:rsid w:val="00996D48"/>
    <w:rsid w:val="00996F48"/>
    <w:rsid w:val="009972FE"/>
    <w:rsid w:val="00997409"/>
    <w:rsid w:val="0099786C"/>
    <w:rsid w:val="00997DCB"/>
    <w:rsid w:val="00997EFC"/>
    <w:rsid w:val="009A03E4"/>
    <w:rsid w:val="009A0A89"/>
    <w:rsid w:val="009A0D06"/>
    <w:rsid w:val="009A0F1D"/>
    <w:rsid w:val="009A1759"/>
    <w:rsid w:val="009A1A68"/>
    <w:rsid w:val="009A1B30"/>
    <w:rsid w:val="009A2D55"/>
    <w:rsid w:val="009A2FAC"/>
    <w:rsid w:val="009A3161"/>
    <w:rsid w:val="009A3445"/>
    <w:rsid w:val="009A3674"/>
    <w:rsid w:val="009A3A59"/>
    <w:rsid w:val="009A4EB5"/>
    <w:rsid w:val="009A5636"/>
    <w:rsid w:val="009A59DC"/>
    <w:rsid w:val="009A5C5B"/>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C79A9"/>
    <w:rsid w:val="009D005C"/>
    <w:rsid w:val="009D0685"/>
    <w:rsid w:val="009D0D81"/>
    <w:rsid w:val="009D1550"/>
    <w:rsid w:val="009D1598"/>
    <w:rsid w:val="009D2F25"/>
    <w:rsid w:val="009D364B"/>
    <w:rsid w:val="009D3D73"/>
    <w:rsid w:val="009D452F"/>
    <w:rsid w:val="009D491E"/>
    <w:rsid w:val="009D4C61"/>
    <w:rsid w:val="009D4DCC"/>
    <w:rsid w:val="009D5653"/>
    <w:rsid w:val="009D647A"/>
    <w:rsid w:val="009D7315"/>
    <w:rsid w:val="009E0BCF"/>
    <w:rsid w:val="009E18F9"/>
    <w:rsid w:val="009E1C4B"/>
    <w:rsid w:val="009E1CBC"/>
    <w:rsid w:val="009E1EBC"/>
    <w:rsid w:val="009E2B24"/>
    <w:rsid w:val="009E3857"/>
    <w:rsid w:val="009E4088"/>
    <w:rsid w:val="009E44F3"/>
    <w:rsid w:val="009E5F59"/>
    <w:rsid w:val="009E628C"/>
    <w:rsid w:val="009E6778"/>
    <w:rsid w:val="009E7AA7"/>
    <w:rsid w:val="009F0E2A"/>
    <w:rsid w:val="009F11D1"/>
    <w:rsid w:val="009F1563"/>
    <w:rsid w:val="009F2651"/>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C85"/>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633A"/>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670C0"/>
    <w:rsid w:val="00A71438"/>
    <w:rsid w:val="00A71D07"/>
    <w:rsid w:val="00A73388"/>
    <w:rsid w:val="00A74CEA"/>
    <w:rsid w:val="00A74FC6"/>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4FCB"/>
    <w:rsid w:val="00A85318"/>
    <w:rsid w:val="00A85A06"/>
    <w:rsid w:val="00A85BD7"/>
    <w:rsid w:val="00A85D8A"/>
    <w:rsid w:val="00A86F6E"/>
    <w:rsid w:val="00A87108"/>
    <w:rsid w:val="00A87C41"/>
    <w:rsid w:val="00A90B5F"/>
    <w:rsid w:val="00A90DC9"/>
    <w:rsid w:val="00A90E85"/>
    <w:rsid w:val="00A90FA9"/>
    <w:rsid w:val="00A912D1"/>
    <w:rsid w:val="00A91492"/>
    <w:rsid w:val="00A915A0"/>
    <w:rsid w:val="00A91D1C"/>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6DF"/>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460D"/>
    <w:rsid w:val="00AE57BA"/>
    <w:rsid w:val="00AE5BB6"/>
    <w:rsid w:val="00AE5D52"/>
    <w:rsid w:val="00AE65B1"/>
    <w:rsid w:val="00AF0D10"/>
    <w:rsid w:val="00AF103F"/>
    <w:rsid w:val="00AF112F"/>
    <w:rsid w:val="00AF26BC"/>
    <w:rsid w:val="00AF2818"/>
    <w:rsid w:val="00AF2F41"/>
    <w:rsid w:val="00AF473D"/>
    <w:rsid w:val="00AF4AA0"/>
    <w:rsid w:val="00AF4EB8"/>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E91"/>
    <w:rsid w:val="00B22EBA"/>
    <w:rsid w:val="00B240B1"/>
    <w:rsid w:val="00B2492B"/>
    <w:rsid w:val="00B25280"/>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4C4C"/>
    <w:rsid w:val="00B35A63"/>
    <w:rsid w:val="00B35AB3"/>
    <w:rsid w:val="00B360A2"/>
    <w:rsid w:val="00B366AE"/>
    <w:rsid w:val="00B36894"/>
    <w:rsid w:val="00B36AE6"/>
    <w:rsid w:val="00B3713C"/>
    <w:rsid w:val="00B3747D"/>
    <w:rsid w:val="00B3772B"/>
    <w:rsid w:val="00B400C8"/>
    <w:rsid w:val="00B4053B"/>
    <w:rsid w:val="00B413D1"/>
    <w:rsid w:val="00B41B00"/>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1339"/>
    <w:rsid w:val="00B62248"/>
    <w:rsid w:val="00B62DAB"/>
    <w:rsid w:val="00B631D0"/>
    <w:rsid w:val="00B64096"/>
    <w:rsid w:val="00B64B47"/>
    <w:rsid w:val="00B65338"/>
    <w:rsid w:val="00B65A15"/>
    <w:rsid w:val="00B65B23"/>
    <w:rsid w:val="00B6765E"/>
    <w:rsid w:val="00B67DB4"/>
    <w:rsid w:val="00B67F8E"/>
    <w:rsid w:val="00B70F0A"/>
    <w:rsid w:val="00B70F23"/>
    <w:rsid w:val="00B7179E"/>
    <w:rsid w:val="00B717DB"/>
    <w:rsid w:val="00B71902"/>
    <w:rsid w:val="00B72163"/>
    <w:rsid w:val="00B72E34"/>
    <w:rsid w:val="00B73662"/>
    <w:rsid w:val="00B736C8"/>
    <w:rsid w:val="00B73B38"/>
    <w:rsid w:val="00B74A57"/>
    <w:rsid w:val="00B75C59"/>
    <w:rsid w:val="00B7619C"/>
    <w:rsid w:val="00B775F0"/>
    <w:rsid w:val="00B7784C"/>
    <w:rsid w:val="00B77C7D"/>
    <w:rsid w:val="00B80136"/>
    <w:rsid w:val="00B80407"/>
    <w:rsid w:val="00B80DFB"/>
    <w:rsid w:val="00B80E17"/>
    <w:rsid w:val="00B81220"/>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6D98"/>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8D6"/>
    <w:rsid w:val="00BD7E39"/>
    <w:rsid w:val="00BE0BC3"/>
    <w:rsid w:val="00BE24F1"/>
    <w:rsid w:val="00BE28AA"/>
    <w:rsid w:val="00BE2C05"/>
    <w:rsid w:val="00BE2C8B"/>
    <w:rsid w:val="00BE3C60"/>
    <w:rsid w:val="00BE4BA5"/>
    <w:rsid w:val="00BE4BDD"/>
    <w:rsid w:val="00BE5DF6"/>
    <w:rsid w:val="00BE62C8"/>
    <w:rsid w:val="00BE64AD"/>
    <w:rsid w:val="00BE6737"/>
    <w:rsid w:val="00BE738A"/>
    <w:rsid w:val="00BE793B"/>
    <w:rsid w:val="00BE7FCA"/>
    <w:rsid w:val="00BE7FFB"/>
    <w:rsid w:val="00BF0E68"/>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103"/>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4F0"/>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44A7"/>
    <w:rsid w:val="00C263C8"/>
    <w:rsid w:val="00C266C3"/>
    <w:rsid w:val="00C277AF"/>
    <w:rsid w:val="00C30412"/>
    <w:rsid w:val="00C30C8B"/>
    <w:rsid w:val="00C3190E"/>
    <w:rsid w:val="00C31AC3"/>
    <w:rsid w:val="00C323C9"/>
    <w:rsid w:val="00C32762"/>
    <w:rsid w:val="00C33E06"/>
    <w:rsid w:val="00C34AD8"/>
    <w:rsid w:val="00C35748"/>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0F58"/>
    <w:rsid w:val="00C51DE9"/>
    <w:rsid w:val="00C51E61"/>
    <w:rsid w:val="00C51ECE"/>
    <w:rsid w:val="00C521CE"/>
    <w:rsid w:val="00C5286F"/>
    <w:rsid w:val="00C538B8"/>
    <w:rsid w:val="00C54448"/>
    <w:rsid w:val="00C551B8"/>
    <w:rsid w:val="00C562A3"/>
    <w:rsid w:val="00C56B97"/>
    <w:rsid w:val="00C57053"/>
    <w:rsid w:val="00C57190"/>
    <w:rsid w:val="00C61122"/>
    <w:rsid w:val="00C6138A"/>
    <w:rsid w:val="00C61EA3"/>
    <w:rsid w:val="00C62691"/>
    <w:rsid w:val="00C627F3"/>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278"/>
    <w:rsid w:val="00C72B24"/>
    <w:rsid w:val="00C73D48"/>
    <w:rsid w:val="00C74EE2"/>
    <w:rsid w:val="00C75046"/>
    <w:rsid w:val="00C75F07"/>
    <w:rsid w:val="00C7669F"/>
    <w:rsid w:val="00C77553"/>
    <w:rsid w:val="00C779D2"/>
    <w:rsid w:val="00C8050C"/>
    <w:rsid w:val="00C81043"/>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0E"/>
    <w:rsid w:val="00C96E11"/>
    <w:rsid w:val="00C96FC4"/>
    <w:rsid w:val="00C973F9"/>
    <w:rsid w:val="00CA055E"/>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A53"/>
    <w:rsid w:val="00CB0ACE"/>
    <w:rsid w:val="00CB1FBD"/>
    <w:rsid w:val="00CB24E5"/>
    <w:rsid w:val="00CB3688"/>
    <w:rsid w:val="00CB4720"/>
    <w:rsid w:val="00CB47F4"/>
    <w:rsid w:val="00CB4CB0"/>
    <w:rsid w:val="00CB5126"/>
    <w:rsid w:val="00CB5DA3"/>
    <w:rsid w:val="00CB62C9"/>
    <w:rsid w:val="00CB714B"/>
    <w:rsid w:val="00CB7567"/>
    <w:rsid w:val="00CC0764"/>
    <w:rsid w:val="00CC0A3E"/>
    <w:rsid w:val="00CC2FE9"/>
    <w:rsid w:val="00CC320E"/>
    <w:rsid w:val="00CC3E30"/>
    <w:rsid w:val="00CC4233"/>
    <w:rsid w:val="00CC43CD"/>
    <w:rsid w:val="00CC4848"/>
    <w:rsid w:val="00CC56C3"/>
    <w:rsid w:val="00CC59B4"/>
    <w:rsid w:val="00CC612E"/>
    <w:rsid w:val="00CC6217"/>
    <w:rsid w:val="00CC660D"/>
    <w:rsid w:val="00CC687A"/>
    <w:rsid w:val="00CC714E"/>
    <w:rsid w:val="00CC71F0"/>
    <w:rsid w:val="00CC759D"/>
    <w:rsid w:val="00CC765C"/>
    <w:rsid w:val="00CD079B"/>
    <w:rsid w:val="00CD099D"/>
    <w:rsid w:val="00CD100B"/>
    <w:rsid w:val="00CD11EB"/>
    <w:rsid w:val="00CD16DC"/>
    <w:rsid w:val="00CD16FE"/>
    <w:rsid w:val="00CD1791"/>
    <w:rsid w:val="00CD27D5"/>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498"/>
    <w:rsid w:val="00CE2763"/>
    <w:rsid w:val="00CE36B1"/>
    <w:rsid w:val="00CE442B"/>
    <w:rsid w:val="00CE5131"/>
    <w:rsid w:val="00CE528F"/>
    <w:rsid w:val="00CE5314"/>
    <w:rsid w:val="00CE5F94"/>
    <w:rsid w:val="00CE609E"/>
    <w:rsid w:val="00CE7809"/>
    <w:rsid w:val="00CF100D"/>
    <w:rsid w:val="00CF112A"/>
    <w:rsid w:val="00CF1A01"/>
    <w:rsid w:val="00CF1ABA"/>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3BD"/>
    <w:rsid w:val="00D12B94"/>
    <w:rsid w:val="00D14222"/>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ED3"/>
    <w:rsid w:val="00D26C0F"/>
    <w:rsid w:val="00D270A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7412"/>
    <w:rsid w:val="00D414BC"/>
    <w:rsid w:val="00D431C6"/>
    <w:rsid w:val="00D446C9"/>
    <w:rsid w:val="00D46EDF"/>
    <w:rsid w:val="00D479C0"/>
    <w:rsid w:val="00D47A25"/>
    <w:rsid w:val="00D47A3A"/>
    <w:rsid w:val="00D47AEB"/>
    <w:rsid w:val="00D503F0"/>
    <w:rsid w:val="00D50426"/>
    <w:rsid w:val="00D515EE"/>
    <w:rsid w:val="00D525A1"/>
    <w:rsid w:val="00D52A7A"/>
    <w:rsid w:val="00D52E81"/>
    <w:rsid w:val="00D52F4E"/>
    <w:rsid w:val="00D5446B"/>
    <w:rsid w:val="00D551A6"/>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5A3"/>
    <w:rsid w:val="00D64B48"/>
    <w:rsid w:val="00D6569B"/>
    <w:rsid w:val="00D65828"/>
    <w:rsid w:val="00D65A72"/>
    <w:rsid w:val="00D65FBE"/>
    <w:rsid w:val="00D702BA"/>
    <w:rsid w:val="00D70430"/>
    <w:rsid w:val="00D70688"/>
    <w:rsid w:val="00D70815"/>
    <w:rsid w:val="00D71576"/>
    <w:rsid w:val="00D71F98"/>
    <w:rsid w:val="00D72614"/>
    <w:rsid w:val="00D72EF5"/>
    <w:rsid w:val="00D74882"/>
    <w:rsid w:val="00D74C1F"/>
    <w:rsid w:val="00D7744F"/>
    <w:rsid w:val="00D77A58"/>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1C7D"/>
    <w:rsid w:val="00D923DB"/>
    <w:rsid w:val="00D9298A"/>
    <w:rsid w:val="00D92FFD"/>
    <w:rsid w:val="00D9390A"/>
    <w:rsid w:val="00D9423E"/>
    <w:rsid w:val="00D945B3"/>
    <w:rsid w:val="00D9484B"/>
    <w:rsid w:val="00D94A7E"/>
    <w:rsid w:val="00D94FD7"/>
    <w:rsid w:val="00D9563F"/>
    <w:rsid w:val="00D9581C"/>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55E"/>
    <w:rsid w:val="00DB0601"/>
    <w:rsid w:val="00DB0D2C"/>
    <w:rsid w:val="00DB3091"/>
    <w:rsid w:val="00DB4107"/>
    <w:rsid w:val="00DB42EB"/>
    <w:rsid w:val="00DB4A45"/>
    <w:rsid w:val="00DB4CF8"/>
    <w:rsid w:val="00DB59C4"/>
    <w:rsid w:val="00DB5B97"/>
    <w:rsid w:val="00DB75F0"/>
    <w:rsid w:val="00DB795E"/>
    <w:rsid w:val="00DB7B7A"/>
    <w:rsid w:val="00DC03B4"/>
    <w:rsid w:val="00DC0D35"/>
    <w:rsid w:val="00DC121F"/>
    <w:rsid w:val="00DC21E1"/>
    <w:rsid w:val="00DC25BC"/>
    <w:rsid w:val="00DC2E56"/>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118C"/>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F4F"/>
    <w:rsid w:val="00DF0DB4"/>
    <w:rsid w:val="00DF1313"/>
    <w:rsid w:val="00DF2FE7"/>
    <w:rsid w:val="00DF3939"/>
    <w:rsid w:val="00DF3F2B"/>
    <w:rsid w:val="00DF44DC"/>
    <w:rsid w:val="00DF4EA1"/>
    <w:rsid w:val="00DF523A"/>
    <w:rsid w:val="00DF591B"/>
    <w:rsid w:val="00DF5F27"/>
    <w:rsid w:val="00DF6C5A"/>
    <w:rsid w:val="00DF7C03"/>
    <w:rsid w:val="00E002C6"/>
    <w:rsid w:val="00E00585"/>
    <w:rsid w:val="00E00BD6"/>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E26"/>
    <w:rsid w:val="00E155EA"/>
    <w:rsid w:val="00E1566F"/>
    <w:rsid w:val="00E15FF2"/>
    <w:rsid w:val="00E1693D"/>
    <w:rsid w:val="00E17E6A"/>
    <w:rsid w:val="00E2000A"/>
    <w:rsid w:val="00E2016F"/>
    <w:rsid w:val="00E216F3"/>
    <w:rsid w:val="00E22425"/>
    <w:rsid w:val="00E22D4D"/>
    <w:rsid w:val="00E23086"/>
    <w:rsid w:val="00E23A95"/>
    <w:rsid w:val="00E2498A"/>
    <w:rsid w:val="00E253E1"/>
    <w:rsid w:val="00E256F1"/>
    <w:rsid w:val="00E25936"/>
    <w:rsid w:val="00E259F0"/>
    <w:rsid w:val="00E25FC3"/>
    <w:rsid w:val="00E26988"/>
    <w:rsid w:val="00E26B89"/>
    <w:rsid w:val="00E26EF6"/>
    <w:rsid w:val="00E26F0F"/>
    <w:rsid w:val="00E30194"/>
    <w:rsid w:val="00E316A2"/>
    <w:rsid w:val="00E31999"/>
    <w:rsid w:val="00E31EBD"/>
    <w:rsid w:val="00E33D04"/>
    <w:rsid w:val="00E3422A"/>
    <w:rsid w:val="00E351CB"/>
    <w:rsid w:val="00E35B55"/>
    <w:rsid w:val="00E36269"/>
    <w:rsid w:val="00E364E1"/>
    <w:rsid w:val="00E3679B"/>
    <w:rsid w:val="00E36F4D"/>
    <w:rsid w:val="00E37720"/>
    <w:rsid w:val="00E37D09"/>
    <w:rsid w:val="00E37EA5"/>
    <w:rsid w:val="00E40AAD"/>
    <w:rsid w:val="00E429CE"/>
    <w:rsid w:val="00E42CFA"/>
    <w:rsid w:val="00E43E97"/>
    <w:rsid w:val="00E447C5"/>
    <w:rsid w:val="00E44BF7"/>
    <w:rsid w:val="00E45504"/>
    <w:rsid w:val="00E45ACB"/>
    <w:rsid w:val="00E45DFA"/>
    <w:rsid w:val="00E465D2"/>
    <w:rsid w:val="00E46BA8"/>
    <w:rsid w:val="00E46D80"/>
    <w:rsid w:val="00E47056"/>
    <w:rsid w:val="00E47A89"/>
    <w:rsid w:val="00E502F3"/>
    <w:rsid w:val="00E51347"/>
    <w:rsid w:val="00E5196B"/>
    <w:rsid w:val="00E525AA"/>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84E"/>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158"/>
    <w:rsid w:val="00E972A5"/>
    <w:rsid w:val="00E97587"/>
    <w:rsid w:val="00E9778E"/>
    <w:rsid w:val="00E97EC5"/>
    <w:rsid w:val="00EA08D7"/>
    <w:rsid w:val="00EA0A11"/>
    <w:rsid w:val="00EA0B64"/>
    <w:rsid w:val="00EA11B3"/>
    <w:rsid w:val="00EA1450"/>
    <w:rsid w:val="00EA1EE0"/>
    <w:rsid w:val="00EA1EE4"/>
    <w:rsid w:val="00EA26B0"/>
    <w:rsid w:val="00EA2868"/>
    <w:rsid w:val="00EA3569"/>
    <w:rsid w:val="00EA3D2E"/>
    <w:rsid w:val="00EA405A"/>
    <w:rsid w:val="00EA51FF"/>
    <w:rsid w:val="00EA5C68"/>
    <w:rsid w:val="00EA60C8"/>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C3A"/>
    <w:rsid w:val="00EC2DB3"/>
    <w:rsid w:val="00EC44A0"/>
    <w:rsid w:val="00EC4CDB"/>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5CC4"/>
    <w:rsid w:val="00ED6F08"/>
    <w:rsid w:val="00ED6F13"/>
    <w:rsid w:val="00ED740F"/>
    <w:rsid w:val="00ED74BE"/>
    <w:rsid w:val="00EE074B"/>
    <w:rsid w:val="00EE0F6A"/>
    <w:rsid w:val="00EE1541"/>
    <w:rsid w:val="00EE1C29"/>
    <w:rsid w:val="00EE261B"/>
    <w:rsid w:val="00EE26F3"/>
    <w:rsid w:val="00EE3983"/>
    <w:rsid w:val="00EE3D3C"/>
    <w:rsid w:val="00EE4690"/>
    <w:rsid w:val="00EE4C2D"/>
    <w:rsid w:val="00EE611C"/>
    <w:rsid w:val="00EE6393"/>
    <w:rsid w:val="00EE641E"/>
    <w:rsid w:val="00EE7887"/>
    <w:rsid w:val="00EE7958"/>
    <w:rsid w:val="00EE7A02"/>
    <w:rsid w:val="00EE7ADB"/>
    <w:rsid w:val="00EE7EF7"/>
    <w:rsid w:val="00EF0337"/>
    <w:rsid w:val="00EF0434"/>
    <w:rsid w:val="00EF06D3"/>
    <w:rsid w:val="00EF06DF"/>
    <w:rsid w:val="00EF0800"/>
    <w:rsid w:val="00EF0E29"/>
    <w:rsid w:val="00EF20F3"/>
    <w:rsid w:val="00EF2480"/>
    <w:rsid w:val="00EF265A"/>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7E9D"/>
    <w:rsid w:val="00F2043B"/>
    <w:rsid w:val="00F20C9A"/>
    <w:rsid w:val="00F21090"/>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4E3E"/>
    <w:rsid w:val="00F358F9"/>
    <w:rsid w:val="00F3759B"/>
    <w:rsid w:val="00F40A40"/>
    <w:rsid w:val="00F40DCD"/>
    <w:rsid w:val="00F41A12"/>
    <w:rsid w:val="00F41A26"/>
    <w:rsid w:val="00F42781"/>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3C9"/>
    <w:rsid w:val="00F625F1"/>
    <w:rsid w:val="00F62B5E"/>
    <w:rsid w:val="00F630C3"/>
    <w:rsid w:val="00F63A2B"/>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7CE"/>
    <w:rsid w:val="00F767EB"/>
    <w:rsid w:val="00F76988"/>
    <w:rsid w:val="00F76D51"/>
    <w:rsid w:val="00F76F49"/>
    <w:rsid w:val="00F7737A"/>
    <w:rsid w:val="00F80447"/>
    <w:rsid w:val="00F8180E"/>
    <w:rsid w:val="00F81A91"/>
    <w:rsid w:val="00F82587"/>
    <w:rsid w:val="00F8261E"/>
    <w:rsid w:val="00F827B6"/>
    <w:rsid w:val="00F82BF9"/>
    <w:rsid w:val="00F83D10"/>
    <w:rsid w:val="00F83DFD"/>
    <w:rsid w:val="00F856CF"/>
    <w:rsid w:val="00F86CD8"/>
    <w:rsid w:val="00F873D2"/>
    <w:rsid w:val="00F87567"/>
    <w:rsid w:val="00F8765D"/>
    <w:rsid w:val="00F87BDA"/>
    <w:rsid w:val="00F90524"/>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3345"/>
    <w:rsid w:val="00FD4063"/>
    <w:rsid w:val="00FD409D"/>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45"/>
    <w:rsid w:val="00FE38C6"/>
    <w:rsid w:val="00FE4C6D"/>
    <w:rsid w:val="00FE64D8"/>
    <w:rsid w:val="00FE6578"/>
    <w:rsid w:val="00FE7001"/>
    <w:rsid w:val="00FE7E9C"/>
    <w:rsid w:val="00FF0E99"/>
    <w:rsid w:val="00FF0F2E"/>
    <w:rsid w:val="00FF20AF"/>
    <w:rsid w:val="00FF2228"/>
    <w:rsid w:val="00FF2642"/>
    <w:rsid w:val="00FF27BE"/>
    <w:rsid w:val="00FF4508"/>
    <w:rsid w:val="00FF4524"/>
    <w:rsid w:val="00FF4C36"/>
    <w:rsid w:val="00FF526C"/>
    <w:rsid w:val="00FF5A95"/>
    <w:rsid w:val="00FF5AF0"/>
    <w:rsid w:val="00FF5C61"/>
    <w:rsid w:val="00FF668C"/>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4270803">
      <w:bodyDiv w:val="1"/>
      <w:marLeft w:val="0"/>
      <w:marRight w:val="0"/>
      <w:marTop w:val="0"/>
      <w:marBottom w:val="0"/>
      <w:divBdr>
        <w:top w:val="none" w:sz="0" w:space="0" w:color="auto"/>
        <w:left w:val="none" w:sz="0" w:space="0" w:color="auto"/>
        <w:bottom w:val="none" w:sz="0" w:space="0" w:color="auto"/>
        <w:right w:val="none" w:sz="0" w:space="0" w:color="auto"/>
      </w:divBdr>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34066996">
      <w:bodyDiv w:val="1"/>
      <w:marLeft w:val="0"/>
      <w:marRight w:val="0"/>
      <w:marTop w:val="0"/>
      <w:marBottom w:val="0"/>
      <w:divBdr>
        <w:top w:val="none" w:sz="0" w:space="0" w:color="auto"/>
        <w:left w:val="none" w:sz="0" w:space="0" w:color="auto"/>
        <w:bottom w:val="none" w:sz="0" w:space="0" w:color="auto"/>
        <w:right w:val="none" w:sz="0" w:space="0" w:color="auto"/>
      </w:divBdr>
    </w:div>
    <w:div w:id="378436753">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47742939">
      <w:bodyDiv w:val="1"/>
      <w:marLeft w:val="0"/>
      <w:marRight w:val="0"/>
      <w:marTop w:val="0"/>
      <w:marBottom w:val="0"/>
      <w:divBdr>
        <w:top w:val="none" w:sz="0" w:space="0" w:color="auto"/>
        <w:left w:val="none" w:sz="0" w:space="0" w:color="auto"/>
        <w:bottom w:val="none" w:sz="0" w:space="0" w:color="auto"/>
        <w:right w:val="none" w:sz="0" w:space="0" w:color="auto"/>
      </w:divBdr>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09834728">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23674227">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35530683">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4549813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7557358">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65182498">
      <w:bodyDiv w:val="1"/>
      <w:marLeft w:val="0"/>
      <w:marRight w:val="0"/>
      <w:marTop w:val="0"/>
      <w:marBottom w:val="0"/>
      <w:divBdr>
        <w:top w:val="none" w:sz="0" w:space="0" w:color="auto"/>
        <w:left w:val="none" w:sz="0" w:space="0" w:color="auto"/>
        <w:bottom w:val="none" w:sz="0" w:space="0" w:color="auto"/>
        <w:right w:val="none" w:sz="0" w:space="0" w:color="auto"/>
      </w:divBdr>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0791022">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02355648">
      <w:bodyDiv w:val="1"/>
      <w:marLeft w:val="0"/>
      <w:marRight w:val="0"/>
      <w:marTop w:val="0"/>
      <w:marBottom w:val="0"/>
      <w:divBdr>
        <w:top w:val="none" w:sz="0" w:space="0" w:color="auto"/>
        <w:left w:val="none" w:sz="0" w:space="0" w:color="auto"/>
        <w:bottom w:val="none" w:sz="0" w:space="0" w:color="auto"/>
        <w:right w:val="none" w:sz="0" w:space="0" w:color="auto"/>
      </w:divBdr>
    </w:div>
    <w:div w:id="1507746302">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74995007">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13111125">
      <w:bodyDiv w:val="1"/>
      <w:marLeft w:val="0"/>
      <w:marRight w:val="0"/>
      <w:marTop w:val="0"/>
      <w:marBottom w:val="0"/>
      <w:divBdr>
        <w:top w:val="none" w:sz="0" w:space="0" w:color="auto"/>
        <w:left w:val="none" w:sz="0" w:space="0" w:color="auto"/>
        <w:bottom w:val="none" w:sz="0" w:space="0" w:color="auto"/>
        <w:right w:val="none" w:sz="0" w:space="0" w:color="auto"/>
      </w:divBdr>
    </w:div>
    <w:div w:id="1717271872">
      <w:bodyDiv w:val="1"/>
      <w:marLeft w:val="0"/>
      <w:marRight w:val="0"/>
      <w:marTop w:val="0"/>
      <w:marBottom w:val="0"/>
      <w:divBdr>
        <w:top w:val="none" w:sz="0" w:space="0" w:color="auto"/>
        <w:left w:val="none" w:sz="0" w:space="0" w:color="auto"/>
        <w:bottom w:val="none" w:sz="0" w:space="0" w:color="auto"/>
        <w:right w:val="none" w:sz="0" w:space="0" w:color="auto"/>
      </w:divBdr>
    </w:div>
    <w:div w:id="1797218871">
      <w:bodyDiv w:val="1"/>
      <w:marLeft w:val="0"/>
      <w:marRight w:val="0"/>
      <w:marTop w:val="0"/>
      <w:marBottom w:val="0"/>
      <w:divBdr>
        <w:top w:val="none" w:sz="0" w:space="0" w:color="auto"/>
        <w:left w:val="none" w:sz="0" w:space="0" w:color="auto"/>
        <w:bottom w:val="none" w:sz="0" w:space="0" w:color="auto"/>
        <w:right w:val="none" w:sz="0" w:space="0" w:color="auto"/>
      </w:divBdr>
    </w:div>
    <w:div w:id="1799833716">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1971788643">
      <w:bodyDiv w:val="1"/>
      <w:marLeft w:val="0"/>
      <w:marRight w:val="0"/>
      <w:marTop w:val="0"/>
      <w:marBottom w:val="0"/>
      <w:divBdr>
        <w:top w:val="none" w:sz="0" w:space="0" w:color="auto"/>
        <w:left w:val="none" w:sz="0" w:space="0" w:color="auto"/>
        <w:bottom w:val="none" w:sz="0" w:space="0" w:color="auto"/>
        <w:right w:val="none" w:sz="0" w:space="0" w:color="auto"/>
      </w:divBdr>
    </w:div>
    <w:div w:id="2008747740">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5.w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3.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4.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6.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337</TotalTime>
  <Pages>11</Pages>
  <Words>5610</Words>
  <Characters>31983</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37518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8</cp:revision>
  <dcterms:created xsi:type="dcterms:W3CDTF">2025-03-26T20:39:00Z</dcterms:created>
  <dcterms:modified xsi:type="dcterms:W3CDTF">2025-03-28T16:34:00Z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